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B09CE" w14:textId="005E1CD4" w:rsidR="00993D53" w:rsidRPr="00CC51C2" w:rsidRDefault="00993D53" w:rsidP="00993D53">
      <w:pPr>
        <w:spacing w:after="0" w:line="240" w:lineRule="auto"/>
        <w:jc w:val="center"/>
        <w:rPr>
          <w:rFonts w:ascii="Times New Roman" w:eastAsia="Times New Roman" w:hAnsi="Times New Roman" w:cs="Times New Roman"/>
          <w:b/>
          <w:bCs/>
        </w:rPr>
      </w:pPr>
      <w:r w:rsidRPr="00CC51C2">
        <w:rPr>
          <w:rFonts w:ascii="Times New Roman" w:eastAsia="Times New Roman" w:hAnsi="Times New Roman" w:cs="Times New Roman"/>
          <w:b/>
          <w:bCs/>
        </w:rPr>
        <w:t>TEMÁTICA: INTERACCIÓN DE LA IA Y LA PROTECCIÓN DE DATOS EN EL DERECHO</w:t>
      </w:r>
    </w:p>
    <w:p w14:paraId="3A993F1D" w14:textId="77777777" w:rsidR="00993D53" w:rsidRPr="00CC51C2" w:rsidRDefault="00993D53" w:rsidP="00993D53">
      <w:pPr>
        <w:spacing w:after="0" w:line="240" w:lineRule="auto"/>
        <w:jc w:val="center"/>
        <w:rPr>
          <w:rFonts w:ascii="Times New Roman" w:eastAsia="Times New Roman" w:hAnsi="Times New Roman" w:cs="Times New Roman"/>
          <w:b/>
          <w:bCs/>
        </w:rPr>
      </w:pPr>
    </w:p>
    <w:p w14:paraId="492E4463" w14:textId="77777777" w:rsidR="00CC51C2" w:rsidRDefault="00CC51C2" w:rsidP="00993D53">
      <w:pPr>
        <w:spacing w:after="0" w:line="240" w:lineRule="auto"/>
        <w:jc w:val="center"/>
        <w:rPr>
          <w:rFonts w:ascii="Times New Roman" w:eastAsia="Times New Roman" w:hAnsi="Times New Roman" w:cs="Times New Roman"/>
          <w:b/>
          <w:bCs/>
        </w:rPr>
      </w:pPr>
      <w:r w:rsidRPr="00CC51C2">
        <w:rPr>
          <w:rFonts w:ascii="Times New Roman" w:eastAsia="Times New Roman" w:hAnsi="Times New Roman" w:cs="Times New Roman"/>
          <w:b/>
          <w:bCs/>
        </w:rPr>
        <w:t>TÍTULO DE LA COMUNICACIÓN:</w:t>
      </w:r>
    </w:p>
    <w:p w14:paraId="2A54E0A6" w14:textId="77777777" w:rsidR="00CC51C2" w:rsidRPr="00CC51C2" w:rsidRDefault="00CC51C2" w:rsidP="00993D53">
      <w:pPr>
        <w:spacing w:after="0" w:line="240" w:lineRule="auto"/>
        <w:jc w:val="center"/>
        <w:rPr>
          <w:rFonts w:ascii="Times New Roman" w:eastAsia="Times New Roman" w:hAnsi="Times New Roman" w:cs="Times New Roman"/>
          <w:b/>
          <w:bCs/>
        </w:rPr>
      </w:pPr>
    </w:p>
    <w:p w14:paraId="00AE513C" w14:textId="2CEE332E" w:rsidR="00993D53" w:rsidRPr="00CC51C2" w:rsidRDefault="00993D53" w:rsidP="00993D53">
      <w:pPr>
        <w:spacing w:after="0" w:line="240" w:lineRule="auto"/>
        <w:jc w:val="center"/>
        <w:rPr>
          <w:rFonts w:ascii="Times New Roman" w:eastAsia="Times New Roman" w:hAnsi="Times New Roman" w:cs="Times New Roman"/>
          <w:b/>
          <w:bCs/>
          <w:i/>
          <w:iCs/>
        </w:rPr>
      </w:pPr>
      <w:r w:rsidRPr="00CC51C2">
        <w:rPr>
          <w:rFonts w:ascii="Times New Roman" w:eastAsia="Times New Roman" w:hAnsi="Times New Roman" w:cs="Times New Roman"/>
          <w:b/>
          <w:bCs/>
          <w:i/>
          <w:iCs/>
        </w:rPr>
        <w:t xml:space="preserve">LA IMPORTANCIA DE LA CIBERSEGURIDAD EN </w:t>
      </w:r>
    </w:p>
    <w:p w14:paraId="66F45AF2" w14:textId="77777777" w:rsidR="00057B32" w:rsidRDefault="00993D53" w:rsidP="00993D53">
      <w:pPr>
        <w:spacing w:after="0" w:line="240" w:lineRule="auto"/>
        <w:jc w:val="center"/>
        <w:rPr>
          <w:rFonts w:ascii="Times New Roman" w:eastAsia="Times New Roman" w:hAnsi="Times New Roman" w:cs="Times New Roman"/>
          <w:b/>
          <w:bCs/>
          <w:i/>
          <w:iCs/>
        </w:rPr>
      </w:pPr>
      <w:r w:rsidRPr="00CC51C2">
        <w:rPr>
          <w:rFonts w:ascii="Times New Roman" w:eastAsia="Times New Roman" w:hAnsi="Times New Roman" w:cs="Times New Roman"/>
          <w:b/>
          <w:bCs/>
          <w:i/>
          <w:iCs/>
        </w:rPr>
        <w:t>LOS VEHÍCULOS AUTÓNOMOS</w:t>
      </w:r>
      <w:r w:rsidR="00CC51C2" w:rsidRPr="00CC51C2">
        <w:rPr>
          <w:rFonts w:ascii="Times New Roman" w:eastAsia="Times New Roman" w:hAnsi="Times New Roman" w:cs="Times New Roman"/>
          <w:b/>
          <w:bCs/>
          <w:i/>
          <w:iCs/>
        </w:rPr>
        <w:t xml:space="preserve"> Y SU </w:t>
      </w:r>
      <w:r w:rsidR="009D54C7">
        <w:rPr>
          <w:rFonts w:ascii="Times New Roman" w:eastAsia="Times New Roman" w:hAnsi="Times New Roman" w:cs="Times New Roman"/>
          <w:b/>
          <w:bCs/>
          <w:i/>
          <w:iCs/>
        </w:rPr>
        <w:t>PROTECCIÓN</w:t>
      </w:r>
      <w:r w:rsidR="00CC51C2" w:rsidRPr="00CC51C2">
        <w:rPr>
          <w:rFonts w:ascii="Times New Roman" w:eastAsia="Times New Roman" w:hAnsi="Times New Roman" w:cs="Times New Roman"/>
          <w:b/>
          <w:bCs/>
          <w:i/>
          <w:iCs/>
        </w:rPr>
        <w:t xml:space="preserve"> </w:t>
      </w:r>
      <w:r w:rsidR="00057B32">
        <w:rPr>
          <w:rFonts w:ascii="Times New Roman" w:eastAsia="Times New Roman" w:hAnsi="Times New Roman" w:cs="Times New Roman"/>
          <w:b/>
          <w:bCs/>
          <w:i/>
          <w:iCs/>
        </w:rPr>
        <w:t xml:space="preserve">EN LA </w:t>
      </w:r>
    </w:p>
    <w:p w14:paraId="24BB7420" w14:textId="02C55256" w:rsidR="00993D53" w:rsidRDefault="00057B32" w:rsidP="00993D53">
      <w:pPr>
        <w:spacing w:after="0" w:line="240" w:lineRule="auto"/>
        <w:jc w:val="center"/>
        <w:rPr>
          <w:rFonts w:ascii="Times New Roman" w:eastAsia="Times New Roman" w:hAnsi="Times New Roman" w:cs="Times New Roman"/>
          <w:b/>
          <w:bCs/>
          <w:i/>
          <w:iCs/>
        </w:rPr>
      </w:pPr>
      <w:r>
        <w:rPr>
          <w:rFonts w:ascii="Times New Roman" w:eastAsia="Times New Roman" w:hAnsi="Times New Roman" w:cs="Times New Roman"/>
          <w:b/>
          <w:bCs/>
          <w:i/>
          <w:iCs/>
        </w:rPr>
        <w:t>LEGISLACIÓN EUROPEA</w:t>
      </w:r>
    </w:p>
    <w:p w14:paraId="57F1C1AF" w14:textId="77777777" w:rsidR="009D54C7" w:rsidRDefault="009D54C7" w:rsidP="00993D53">
      <w:pPr>
        <w:spacing w:after="0" w:line="240" w:lineRule="auto"/>
        <w:jc w:val="center"/>
        <w:rPr>
          <w:rFonts w:ascii="Times New Roman" w:eastAsia="Times New Roman" w:hAnsi="Times New Roman" w:cs="Times New Roman"/>
        </w:rPr>
      </w:pPr>
    </w:p>
    <w:p w14:paraId="50117A47" w14:textId="30916FC2" w:rsidR="009D54C7" w:rsidRPr="009D54C7" w:rsidRDefault="009D54C7" w:rsidP="00993D5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RESUMEN DE LA COMUNICACIÓN</w:t>
      </w:r>
    </w:p>
    <w:p w14:paraId="5CB7D307" w14:textId="77777777" w:rsidR="00993D53" w:rsidRDefault="00993D53" w:rsidP="00993D53">
      <w:pPr>
        <w:jc w:val="both"/>
        <w:rPr>
          <w:rFonts w:ascii="Times New Roman" w:eastAsia="Times New Roman" w:hAnsi="Times New Roman" w:cs="Times New Roman"/>
        </w:rPr>
      </w:pPr>
    </w:p>
    <w:p w14:paraId="03F7BE2E" w14:textId="67F653EE" w:rsidR="00C30BCA" w:rsidRDefault="00C30BCA" w:rsidP="00993D53">
      <w:pPr>
        <w:jc w:val="both"/>
        <w:rPr>
          <w:rFonts w:ascii="Times New Roman" w:eastAsia="Times New Roman" w:hAnsi="Times New Roman" w:cs="Times New Roman"/>
        </w:rPr>
      </w:pPr>
      <w:r>
        <w:rPr>
          <w:rFonts w:ascii="Times New Roman" w:eastAsia="Times New Roman" w:hAnsi="Times New Roman" w:cs="Times New Roman"/>
        </w:rPr>
        <w:t xml:space="preserve">             Esta comunicación tiene por objeto resaltar la importancia de la ciberseguridad en los vehículos </w:t>
      </w:r>
      <w:r w:rsidR="00940264">
        <w:rPr>
          <w:rFonts w:ascii="Times New Roman" w:eastAsia="Times New Roman" w:hAnsi="Times New Roman" w:cs="Times New Roman"/>
        </w:rPr>
        <w:t xml:space="preserve">autónomos </w:t>
      </w:r>
      <w:r>
        <w:rPr>
          <w:rFonts w:ascii="Times New Roman" w:eastAsia="Times New Roman" w:hAnsi="Times New Roman" w:cs="Times New Roman"/>
        </w:rPr>
        <w:t xml:space="preserve">dotados con inteligencia artificial </w:t>
      </w:r>
      <w:r w:rsidR="00940264">
        <w:rPr>
          <w:rFonts w:ascii="Times New Roman" w:eastAsia="Times New Roman" w:hAnsi="Times New Roman" w:cs="Times New Roman"/>
        </w:rPr>
        <w:t xml:space="preserve">que funcionan sin conductor </w:t>
      </w:r>
      <w:r>
        <w:rPr>
          <w:rFonts w:ascii="Times New Roman" w:eastAsia="Times New Roman" w:hAnsi="Times New Roman" w:cs="Times New Roman"/>
        </w:rPr>
        <w:t xml:space="preserve">y la protección </w:t>
      </w:r>
      <w:r w:rsidR="00057B32">
        <w:rPr>
          <w:rFonts w:ascii="Times New Roman" w:eastAsia="Times New Roman" w:hAnsi="Times New Roman" w:cs="Times New Roman"/>
        </w:rPr>
        <w:t xml:space="preserve">jurídica </w:t>
      </w:r>
      <w:r>
        <w:rPr>
          <w:rFonts w:ascii="Times New Roman" w:eastAsia="Times New Roman" w:hAnsi="Times New Roman" w:cs="Times New Roman"/>
        </w:rPr>
        <w:t>brindada hasta la fecha por las instancias europeas</w:t>
      </w:r>
      <w:r w:rsidR="002A7ADC">
        <w:rPr>
          <w:rStyle w:val="Refdenotaalpie"/>
          <w:rFonts w:ascii="Times New Roman" w:eastAsia="Times New Roman" w:hAnsi="Times New Roman" w:cs="Times New Roman"/>
        </w:rPr>
        <w:footnoteReference w:id="1"/>
      </w:r>
      <w:r w:rsidR="00057B32">
        <w:rPr>
          <w:rFonts w:ascii="Times New Roman" w:eastAsia="Times New Roman" w:hAnsi="Times New Roman" w:cs="Times New Roman"/>
        </w:rPr>
        <w:t>.</w:t>
      </w:r>
    </w:p>
    <w:p w14:paraId="72F37634" w14:textId="3465930B" w:rsidR="00993D53" w:rsidRDefault="00993D53" w:rsidP="00A61282">
      <w:pPr>
        <w:spacing w:after="0" w:line="240" w:lineRule="auto"/>
        <w:jc w:val="both"/>
        <w:rPr>
          <w:rFonts w:ascii="Times New Roman" w:hAnsi="Times New Roman" w:cs="Times New Roman"/>
          <w:shd w:val="clear" w:color="auto" w:fill="FFFFFF"/>
        </w:rPr>
      </w:pPr>
      <w:r>
        <w:rPr>
          <w:rFonts w:ascii="Times New Roman" w:hAnsi="Times New Roman" w:cs="Times New Roman"/>
        </w:rPr>
        <w:t xml:space="preserve">           Un tipo de daño que es característico e</w:t>
      </w:r>
      <w:r w:rsidR="00F42C84">
        <w:rPr>
          <w:rFonts w:ascii="Times New Roman" w:hAnsi="Times New Roman" w:cs="Times New Roman"/>
        </w:rPr>
        <w:t>n</w:t>
      </w:r>
      <w:r>
        <w:rPr>
          <w:rFonts w:ascii="Times New Roman" w:hAnsi="Times New Roman" w:cs="Times New Roman"/>
        </w:rPr>
        <w:t xml:space="preserve"> la utilización de los vehículos autónomos </w:t>
      </w:r>
      <w:r w:rsidR="00CC51C2">
        <w:rPr>
          <w:rFonts w:ascii="Times New Roman" w:hAnsi="Times New Roman" w:cs="Times New Roman"/>
        </w:rPr>
        <w:t xml:space="preserve">conectados </w:t>
      </w:r>
      <w:r w:rsidR="00A34110">
        <w:rPr>
          <w:rFonts w:ascii="Times New Roman" w:hAnsi="Times New Roman" w:cs="Times New Roman"/>
        </w:rPr>
        <w:t xml:space="preserve">(CAV) </w:t>
      </w:r>
      <w:r>
        <w:rPr>
          <w:rFonts w:ascii="Times New Roman" w:hAnsi="Times New Roman" w:cs="Times New Roman"/>
        </w:rPr>
        <w:t xml:space="preserve">es el que deriva de los ciberataques al vehículo, que pueden ocasionar daños tanto al propio usuario como a terceros. </w:t>
      </w:r>
      <w:r>
        <w:rPr>
          <w:rFonts w:ascii="Roboto" w:hAnsi="Roboto"/>
          <w:color w:val="6F6F6F"/>
          <w:sz w:val="21"/>
          <w:szCs w:val="21"/>
          <w:shd w:val="clear" w:color="auto" w:fill="FFFFFF"/>
        </w:rPr>
        <w:t> </w:t>
      </w:r>
      <w:r w:rsidRPr="00CF5FF8">
        <w:rPr>
          <w:rFonts w:ascii="Times New Roman" w:hAnsi="Times New Roman" w:cs="Times New Roman"/>
          <w:shd w:val="clear" w:color="auto" w:fill="FFFFFF"/>
        </w:rPr>
        <w:t xml:space="preserve">Los </w:t>
      </w:r>
      <w:r w:rsidR="00A34110">
        <w:rPr>
          <w:rFonts w:ascii="Times New Roman" w:hAnsi="Times New Roman" w:cs="Times New Roman"/>
          <w:shd w:val="clear" w:color="auto" w:fill="FFFFFF"/>
        </w:rPr>
        <w:t>CAV</w:t>
      </w:r>
      <w:r w:rsidRPr="00CF5FF8">
        <w:rPr>
          <w:rFonts w:ascii="Times New Roman" w:hAnsi="Times New Roman" w:cs="Times New Roman"/>
          <w:shd w:val="clear" w:color="auto" w:fill="FFFFFF"/>
        </w:rPr>
        <w:t xml:space="preserve"> son plataformas tecnológicas complejas que dependen de sensores, sistemas de comunicación, redes y datos. Esta conectividad masiva los convierte en objetivos atractivos para los ciberdelincuentes.</w:t>
      </w:r>
      <w:r>
        <w:rPr>
          <w:rFonts w:ascii="Times New Roman" w:hAnsi="Times New Roman" w:cs="Times New Roman"/>
          <w:shd w:val="clear" w:color="auto" w:fill="FFFFFF"/>
        </w:rPr>
        <w:t xml:space="preserve"> </w:t>
      </w:r>
      <w:r w:rsidRPr="00CF5FF8">
        <w:rPr>
          <w:rFonts w:ascii="Times New Roman" w:hAnsi="Times New Roman" w:cs="Times New Roman"/>
          <w:shd w:val="clear" w:color="auto" w:fill="FFFFFF"/>
        </w:rPr>
        <w:t>La dependencia de tecnologías avanzadas hace que la ciberseguridad sea un componente crítico para garantizar la seguridad de los usuarios</w:t>
      </w:r>
      <w:r w:rsidR="00C30BCA">
        <w:rPr>
          <w:rFonts w:ascii="Times New Roman" w:hAnsi="Times New Roman" w:cs="Times New Roman"/>
          <w:shd w:val="clear" w:color="auto" w:fill="FFFFFF"/>
        </w:rPr>
        <w:t>, de los peatones</w:t>
      </w:r>
      <w:r w:rsidRPr="00CF5FF8">
        <w:rPr>
          <w:rFonts w:ascii="Times New Roman" w:hAnsi="Times New Roman" w:cs="Times New Roman"/>
          <w:shd w:val="clear" w:color="auto" w:fill="FFFFFF"/>
        </w:rPr>
        <w:t xml:space="preserve"> y de las infraestructuras conectadas</w:t>
      </w:r>
      <w:r>
        <w:rPr>
          <w:rFonts w:ascii="Times New Roman" w:hAnsi="Times New Roman" w:cs="Times New Roman"/>
          <w:shd w:val="clear" w:color="auto" w:fill="FFFFFF"/>
        </w:rPr>
        <w:t>.</w:t>
      </w:r>
    </w:p>
    <w:p w14:paraId="7D7A1212" w14:textId="0B5E6808" w:rsidR="00993D53" w:rsidRPr="006E1C14" w:rsidRDefault="00993D53" w:rsidP="00A61282">
      <w:pPr>
        <w:spacing w:after="0" w:line="240" w:lineRule="auto"/>
        <w:jc w:val="both"/>
        <w:rPr>
          <w:rFonts w:ascii="Times New Roman" w:eastAsia="Times New Roman" w:hAnsi="Times New Roman" w:cs="Times New Roman"/>
          <w:lang w:eastAsia="es-ES"/>
        </w:rPr>
      </w:pPr>
      <w:r>
        <w:rPr>
          <w:rFonts w:ascii="Times New Roman" w:hAnsi="Times New Roman" w:cs="Times New Roman"/>
          <w:shd w:val="clear" w:color="auto" w:fill="FFFFFF"/>
        </w:rPr>
        <w:t xml:space="preserve">          </w:t>
      </w:r>
      <w:r w:rsidRPr="00CF5FF8">
        <w:rPr>
          <w:rFonts w:ascii="Times New Roman" w:hAnsi="Times New Roman" w:cs="Times New Roman"/>
          <w:shd w:val="clear" w:color="auto" w:fill="FFFFFF"/>
        </w:rPr>
        <w:t xml:space="preserve">Los </w:t>
      </w:r>
      <w:r w:rsidR="00A34110">
        <w:rPr>
          <w:rFonts w:ascii="Times New Roman" w:hAnsi="Times New Roman" w:cs="Times New Roman"/>
          <w:shd w:val="clear" w:color="auto" w:fill="FFFFFF"/>
        </w:rPr>
        <w:t>CAV</w:t>
      </w:r>
      <w:r w:rsidRPr="00CF5FF8">
        <w:rPr>
          <w:rFonts w:ascii="Times New Roman" w:hAnsi="Times New Roman" w:cs="Times New Roman"/>
          <w:shd w:val="clear" w:color="auto" w:fill="FFFFFF"/>
        </w:rPr>
        <w:t xml:space="preserve"> dependen de la comunicación </w:t>
      </w:r>
      <w:r w:rsidR="00A34110">
        <w:rPr>
          <w:rFonts w:ascii="Times New Roman" w:hAnsi="Times New Roman" w:cs="Times New Roman"/>
          <w:shd w:val="clear" w:color="auto" w:fill="FFFFFF"/>
        </w:rPr>
        <w:t>“</w:t>
      </w:r>
      <w:r w:rsidRPr="00CF5FF8">
        <w:rPr>
          <w:rFonts w:ascii="Times New Roman" w:hAnsi="Times New Roman" w:cs="Times New Roman"/>
          <w:shd w:val="clear" w:color="auto" w:fill="FFFFFF"/>
        </w:rPr>
        <w:t>vehículo</w:t>
      </w:r>
      <w:r>
        <w:rPr>
          <w:rFonts w:ascii="Times New Roman" w:hAnsi="Times New Roman" w:cs="Times New Roman"/>
          <w:shd w:val="clear" w:color="auto" w:fill="FFFFFF"/>
        </w:rPr>
        <w:t xml:space="preserve"> </w:t>
      </w:r>
      <w:r w:rsidRPr="00CF5FF8">
        <w:rPr>
          <w:rFonts w:ascii="Times New Roman" w:hAnsi="Times New Roman" w:cs="Times New Roman"/>
          <w:shd w:val="clear" w:color="auto" w:fill="FFFFFF"/>
        </w:rPr>
        <w:t>a</w:t>
      </w:r>
      <w:r>
        <w:rPr>
          <w:rFonts w:ascii="Times New Roman" w:hAnsi="Times New Roman" w:cs="Times New Roman"/>
          <w:shd w:val="clear" w:color="auto" w:fill="FFFFFF"/>
        </w:rPr>
        <w:t xml:space="preserve"> </w:t>
      </w:r>
      <w:r w:rsidRPr="00CF5FF8">
        <w:rPr>
          <w:rFonts w:ascii="Times New Roman" w:hAnsi="Times New Roman" w:cs="Times New Roman"/>
          <w:shd w:val="clear" w:color="auto" w:fill="FFFFFF"/>
        </w:rPr>
        <w:t>todo</w:t>
      </w:r>
      <w:r w:rsidR="00A34110">
        <w:rPr>
          <w:rFonts w:ascii="Times New Roman" w:hAnsi="Times New Roman" w:cs="Times New Roman"/>
          <w:shd w:val="clear" w:color="auto" w:fill="FFFFFF"/>
        </w:rPr>
        <w:t>”</w:t>
      </w:r>
      <w:r w:rsidRPr="00CF5FF8">
        <w:rPr>
          <w:rFonts w:ascii="Times New Roman" w:hAnsi="Times New Roman" w:cs="Times New Roman"/>
          <w:shd w:val="clear" w:color="auto" w:fill="FFFFFF"/>
        </w:rPr>
        <w:t xml:space="preserve"> para interactuar con otros coches, infraestructuras</w:t>
      </w:r>
      <w:r w:rsidR="00A34110">
        <w:rPr>
          <w:rFonts w:ascii="Times New Roman" w:hAnsi="Times New Roman" w:cs="Times New Roman"/>
          <w:shd w:val="clear" w:color="auto" w:fill="FFFFFF"/>
        </w:rPr>
        <w:t>, redes</w:t>
      </w:r>
      <w:r w:rsidRPr="00CF5FF8">
        <w:rPr>
          <w:rFonts w:ascii="Times New Roman" w:hAnsi="Times New Roman" w:cs="Times New Roman"/>
          <w:shd w:val="clear" w:color="auto" w:fill="FFFFFF"/>
        </w:rPr>
        <w:t xml:space="preserve"> y peatones. </w:t>
      </w:r>
      <w:r w:rsidR="00054568">
        <w:rPr>
          <w:rFonts w:ascii="Times New Roman" w:hAnsi="Times New Roman" w:cs="Times New Roman"/>
          <w:shd w:val="clear" w:color="auto" w:fill="FFFFFF"/>
        </w:rPr>
        <w:t xml:space="preserve">Es decir, </w:t>
      </w:r>
      <w:r w:rsidR="00940264">
        <w:rPr>
          <w:rFonts w:ascii="Times New Roman" w:hAnsi="Times New Roman" w:cs="Times New Roman"/>
          <w:shd w:val="clear" w:color="auto" w:fill="FFFFFF"/>
        </w:rPr>
        <w:t xml:space="preserve">tienen </w:t>
      </w:r>
      <w:r w:rsidR="00054568">
        <w:rPr>
          <w:rFonts w:ascii="Times New Roman" w:eastAsia="Times New Roman" w:hAnsi="Times New Roman" w:cs="Times New Roman"/>
          <w:lang w:eastAsia="es-ES"/>
        </w:rPr>
        <w:t xml:space="preserve">los siguientes tipos de comunicaciones vehiculares: </w:t>
      </w:r>
      <w:r w:rsidR="00054568" w:rsidRPr="00111F30">
        <w:rPr>
          <w:rFonts w:ascii="Times New Roman" w:eastAsia="Times New Roman" w:hAnsi="Times New Roman" w:cs="Times New Roman"/>
          <w:lang w:eastAsia="es-ES"/>
        </w:rPr>
        <w:t>de vehículo a vehículo</w:t>
      </w:r>
      <w:r w:rsidR="00054568">
        <w:rPr>
          <w:rStyle w:val="Refdenotaalpie"/>
          <w:rFonts w:ascii="Times New Roman" w:eastAsia="Times New Roman" w:hAnsi="Times New Roman" w:cs="Times New Roman"/>
          <w:lang w:eastAsia="es-ES"/>
        </w:rPr>
        <w:footnoteReference w:id="2"/>
      </w:r>
      <w:r w:rsidR="00054568" w:rsidRPr="006E1C14">
        <w:rPr>
          <w:rFonts w:ascii="Times New Roman" w:eastAsia="Times New Roman" w:hAnsi="Times New Roman" w:cs="Times New Roman"/>
          <w:lang w:eastAsia="es-ES"/>
        </w:rPr>
        <w:t>,</w:t>
      </w:r>
      <w:r w:rsidR="00054568" w:rsidRPr="00111F30">
        <w:rPr>
          <w:rFonts w:ascii="Times New Roman" w:eastAsia="Times New Roman" w:hAnsi="Times New Roman" w:cs="Times New Roman"/>
          <w:lang w:eastAsia="es-ES"/>
        </w:rPr>
        <w:t xml:space="preserve"> de vehículo a infraestructura</w:t>
      </w:r>
      <w:r w:rsidR="00054568">
        <w:rPr>
          <w:rStyle w:val="Refdenotaalpie"/>
          <w:rFonts w:ascii="Times New Roman" w:eastAsia="Times New Roman" w:hAnsi="Times New Roman" w:cs="Times New Roman"/>
          <w:lang w:eastAsia="es-ES"/>
        </w:rPr>
        <w:footnoteReference w:id="3"/>
      </w:r>
      <w:r w:rsidR="00054568" w:rsidRPr="006E1C14">
        <w:rPr>
          <w:rFonts w:ascii="Times New Roman" w:eastAsia="Times New Roman" w:hAnsi="Times New Roman" w:cs="Times New Roman"/>
          <w:lang w:eastAsia="es-ES"/>
        </w:rPr>
        <w:t>,</w:t>
      </w:r>
      <w:r w:rsidR="00054568" w:rsidRPr="00111F30">
        <w:rPr>
          <w:rFonts w:ascii="Times New Roman" w:eastAsia="Times New Roman" w:hAnsi="Times New Roman" w:cs="Times New Roman"/>
          <w:lang w:eastAsia="es-ES"/>
        </w:rPr>
        <w:t xml:space="preserve"> </w:t>
      </w:r>
      <w:r w:rsidR="00054568" w:rsidRPr="006E1C14">
        <w:rPr>
          <w:rFonts w:ascii="Times New Roman" w:eastAsia="Times New Roman" w:hAnsi="Times New Roman" w:cs="Times New Roman"/>
          <w:lang w:eastAsia="es-ES"/>
        </w:rPr>
        <w:t>d</w:t>
      </w:r>
      <w:r w:rsidR="00054568" w:rsidRPr="00111F30">
        <w:rPr>
          <w:rFonts w:ascii="Times New Roman" w:eastAsia="Times New Roman" w:hAnsi="Times New Roman" w:cs="Times New Roman"/>
          <w:lang w:eastAsia="es-ES"/>
        </w:rPr>
        <w:t>e vehículo a peatón</w:t>
      </w:r>
      <w:r w:rsidR="00054568">
        <w:rPr>
          <w:rStyle w:val="Refdenotaalpie"/>
          <w:rFonts w:ascii="Times New Roman" w:eastAsia="Times New Roman" w:hAnsi="Times New Roman" w:cs="Times New Roman"/>
          <w:lang w:eastAsia="es-ES"/>
        </w:rPr>
        <w:footnoteReference w:id="4"/>
      </w:r>
      <w:r w:rsidR="00054568" w:rsidRPr="00111F30">
        <w:rPr>
          <w:rFonts w:ascii="Times New Roman" w:eastAsia="Times New Roman" w:hAnsi="Times New Roman" w:cs="Times New Roman"/>
          <w:lang w:eastAsia="es-ES"/>
        </w:rPr>
        <w:t xml:space="preserve"> y </w:t>
      </w:r>
      <w:r w:rsidR="00054568" w:rsidRPr="006E1C14">
        <w:rPr>
          <w:rFonts w:ascii="Times New Roman" w:eastAsia="Times New Roman" w:hAnsi="Times New Roman" w:cs="Times New Roman"/>
          <w:lang w:eastAsia="es-ES"/>
        </w:rPr>
        <w:t xml:space="preserve">de </w:t>
      </w:r>
      <w:r w:rsidR="00054568" w:rsidRPr="00111F30">
        <w:rPr>
          <w:rFonts w:ascii="Times New Roman" w:eastAsia="Times New Roman" w:hAnsi="Times New Roman" w:cs="Times New Roman"/>
          <w:lang w:eastAsia="es-ES"/>
        </w:rPr>
        <w:t>vehículo a red</w:t>
      </w:r>
      <w:r w:rsidR="00054568">
        <w:rPr>
          <w:rStyle w:val="Refdenotaalpie"/>
          <w:rFonts w:ascii="Times New Roman" w:eastAsia="Times New Roman" w:hAnsi="Times New Roman" w:cs="Times New Roman"/>
          <w:lang w:eastAsia="es-ES"/>
        </w:rPr>
        <w:footnoteReference w:id="5"/>
      </w:r>
      <w:r w:rsidR="00054568" w:rsidRPr="00111F30">
        <w:rPr>
          <w:rFonts w:ascii="Times New Roman" w:eastAsia="Times New Roman" w:hAnsi="Times New Roman" w:cs="Times New Roman"/>
          <w:lang w:eastAsia="es-ES"/>
        </w:rPr>
        <w:t>.</w:t>
      </w:r>
      <w:r w:rsidR="00940264">
        <w:rPr>
          <w:rFonts w:ascii="Times New Roman" w:eastAsia="Times New Roman" w:hAnsi="Times New Roman" w:cs="Times New Roman"/>
          <w:lang w:eastAsia="es-ES"/>
        </w:rPr>
        <w:t xml:space="preserve"> </w:t>
      </w:r>
      <w:r w:rsidRPr="00CF5FF8">
        <w:rPr>
          <w:rFonts w:ascii="Times New Roman" w:hAnsi="Times New Roman" w:cs="Times New Roman"/>
          <w:shd w:val="clear" w:color="auto" w:fill="FFFFFF"/>
        </w:rPr>
        <w:t xml:space="preserve">Un </w:t>
      </w:r>
      <w:r w:rsidR="00054568">
        <w:rPr>
          <w:rFonts w:ascii="Times New Roman" w:hAnsi="Times New Roman" w:cs="Times New Roman"/>
          <w:shd w:val="clear" w:color="auto" w:fill="FFFFFF"/>
        </w:rPr>
        <w:t>pirata informático, mediante el secuestro remoto, puede tomar el control total del automóvil</w:t>
      </w:r>
      <w:r w:rsidR="00054568">
        <w:rPr>
          <w:rStyle w:val="Refdenotaalpie"/>
          <w:rFonts w:ascii="Times New Roman" w:hAnsi="Times New Roman" w:cs="Times New Roman"/>
          <w:shd w:val="clear" w:color="auto" w:fill="FFFFFF"/>
        </w:rPr>
        <w:footnoteReference w:id="6"/>
      </w:r>
      <w:r w:rsidR="00054568">
        <w:rPr>
          <w:rFonts w:ascii="Times New Roman" w:hAnsi="Times New Roman" w:cs="Times New Roman"/>
          <w:shd w:val="clear" w:color="auto" w:fill="FFFFFF"/>
        </w:rPr>
        <w:t>, pudiendo,</w:t>
      </w:r>
      <w:r w:rsidRPr="00CF5FF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por ejemplo, </w:t>
      </w:r>
      <w:r w:rsidRPr="00CF5FF8">
        <w:rPr>
          <w:rFonts w:ascii="Times New Roman" w:hAnsi="Times New Roman" w:cs="Times New Roman"/>
          <w:shd w:val="clear" w:color="auto" w:fill="FFFFFF"/>
        </w:rPr>
        <w:t xml:space="preserve">causar colisiones o </w:t>
      </w:r>
      <w:r w:rsidRPr="00CF5FF8">
        <w:rPr>
          <w:rFonts w:ascii="Times New Roman" w:hAnsi="Times New Roman" w:cs="Times New Roman"/>
          <w:shd w:val="clear" w:color="auto" w:fill="FFFFFF"/>
        </w:rPr>
        <w:lastRenderedPageBreak/>
        <w:t>interrumpir el tráfico</w:t>
      </w:r>
      <w:r w:rsidR="00D66423">
        <w:rPr>
          <w:rFonts w:ascii="Times New Roman" w:hAnsi="Times New Roman" w:cs="Times New Roman"/>
          <w:shd w:val="clear" w:color="auto" w:fill="FFFFFF"/>
        </w:rPr>
        <w:t xml:space="preserve">, </w:t>
      </w:r>
      <w:r w:rsidR="00054568">
        <w:rPr>
          <w:rFonts w:ascii="Times New Roman" w:hAnsi="Times New Roman" w:cs="Times New Roman"/>
          <w:shd w:val="clear" w:color="auto" w:fill="FFFFFF"/>
        </w:rPr>
        <w:t xml:space="preserve">originar </w:t>
      </w:r>
      <w:r w:rsidR="00D66423">
        <w:rPr>
          <w:rFonts w:ascii="Times New Roman" w:hAnsi="Times New Roman" w:cs="Times New Roman"/>
          <w:shd w:val="clear" w:color="auto" w:fill="FFFFFF"/>
        </w:rPr>
        <w:t>un comportamiento impredecible del vehículo, o interferir en la dirección, el frenado o la aceleración</w:t>
      </w:r>
      <w:r w:rsidR="00D66423" w:rsidRPr="006E1C14">
        <w:rPr>
          <w:rStyle w:val="Refdenotaalpie"/>
          <w:rFonts w:ascii="Times New Roman" w:hAnsi="Times New Roman" w:cs="Times New Roman"/>
        </w:rPr>
        <w:footnoteReference w:id="7"/>
      </w:r>
      <w:r>
        <w:rPr>
          <w:rFonts w:ascii="Times New Roman" w:hAnsi="Times New Roman" w:cs="Times New Roman"/>
          <w:shd w:val="clear" w:color="auto" w:fill="FFFFFF"/>
        </w:rPr>
        <w:t xml:space="preserve">. </w:t>
      </w:r>
    </w:p>
    <w:p w14:paraId="76E961F2" w14:textId="6D68872A" w:rsidR="00A61282" w:rsidRDefault="00993D53" w:rsidP="00A34110">
      <w:pPr>
        <w:spacing w:after="0" w:line="240" w:lineRule="auto"/>
        <w:jc w:val="both"/>
        <w:textAlignment w:val="baseline"/>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w:t>
      </w:r>
      <w:r w:rsidR="00A61282">
        <w:rPr>
          <w:rFonts w:ascii="Times New Roman" w:eastAsia="Times New Roman" w:hAnsi="Times New Roman" w:cs="Times New Roman"/>
          <w:lang w:eastAsia="es-ES"/>
        </w:rPr>
        <w:t>L</w:t>
      </w:r>
      <w:r w:rsidR="00A61282" w:rsidRPr="00111F30">
        <w:rPr>
          <w:rFonts w:ascii="Times New Roman" w:eastAsia="Times New Roman" w:hAnsi="Times New Roman" w:cs="Times New Roman"/>
          <w:lang w:eastAsia="es-ES"/>
        </w:rPr>
        <w:t xml:space="preserve">os </w:t>
      </w:r>
      <w:r w:rsidR="00C30BCA">
        <w:rPr>
          <w:rFonts w:ascii="Times New Roman" w:eastAsia="Times New Roman" w:hAnsi="Times New Roman" w:cs="Times New Roman"/>
          <w:lang w:eastAsia="es-ES"/>
        </w:rPr>
        <w:t>CAV</w:t>
      </w:r>
      <w:r w:rsidR="00A61282" w:rsidRPr="00111F30">
        <w:rPr>
          <w:rFonts w:ascii="Times New Roman" w:eastAsia="Times New Roman" w:hAnsi="Times New Roman" w:cs="Times New Roman"/>
          <w:lang w:eastAsia="es-ES"/>
        </w:rPr>
        <w:t xml:space="preserve"> producen y almacenan datos nuevos cada segundo y utilizan la computación en la nube para un almacenamiento </w:t>
      </w:r>
      <w:r w:rsidR="00A61282">
        <w:rPr>
          <w:rFonts w:ascii="Times New Roman" w:eastAsia="Times New Roman" w:hAnsi="Times New Roman" w:cs="Times New Roman"/>
          <w:lang w:eastAsia="es-ES"/>
        </w:rPr>
        <w:t>y</w:t>
      </w:r>
      <w:r w:rsidR="00A61282" w:rsidRPr="00111F30">
        <w:rPr>
          <w:rFonts w:ascii="Times New Roman" w:eastAsia="Times New Roman" w:hAnsi="Times New Roman" w:cs="Times New Roman"/>
          <w:lang w:eastAsia="es-ES"/>
        </w:rPr>
        <w:t xml:space="preserve"> recuperación rápidos</w:t>
      </w:r>
      <w:r w:rsidR="007B41E7">
        <w:rPr>
          <w:rFonts w:ascii="Times New Roman" w:eastAsia="Times New Roman" w:hAnsi="Times New Roman" w:cs="Times New Roman"/>
          <w:lang w:eastAsia="es-ES"/>
        </w:rPr>
        <w:t xml:space="preserve">. </w:t>
      </w:r>
      <w:r w:rsidR="00A61282" w:rsidRPr="00111F30">
        <w:rPr>
          <w:rFonts w:ascii="Times New Roman" w:eastAsia="Times New Roman" w:hAnsi="Times New Roman" w:cs="Times New Roman"/>
          <w:lang w:eastAsia="es-ES"/>
        </w:rPr>
        <w:t xml:space="preserve">Si un hacker pudiera acceder a la base de datos en la nube de un automóvil, podría manipular muchas funciones </w:t>
      </w:r>
      <w:r w:rsidR="00C30BCA" w:rsidRPr="00111F30">
        <w:rPr>
          <w:rFonts w:ascii="Times New Roman" w:eastAsia="Times New Roman" w:hAnsi="Times New Roman" w:cs="Times New Roman"/>
          <w:lang w:eastAsia="es-ES"/>
        </w:rPr>
        <w:t>de</w:t>
      </w:r>
      <w:r w:rsidR="00C30BCA" w:rsidRPr="006E1C14">
        <w:rPr>
          <w:rFonts w:ascii="Times New Roman" w:eastAsia="Times New Roman" w:hAnsi="Times New Roman" w:cs="Times New Roman"/>
          <w:lang w:eastAsia="es-ES"/>
        </w:rPr>
        <w:t xml:space="preserve"> </w:t>
      </w:r>
      <w:r w:rsidR="00C30BCA">
        <w:rPr>
          <w:rFonts w:ascii="Times New Roman" w:eastAsia="Times New Roman" w:hAnsi="Times New Roman" w:cs="Times New Roman"/>
          <w:lang w:eastAsia="es-ES"/>
        </w:rPr>
        <w:t>éste</w:t>
      </w:r>
      <w:r w:rsidR="007B41E7">
        <w:rPr>
          <w:rFonts w:ascii="Times New Roman" w:eastAsia="Times New Roman" w:hAnsi="Times New Roman" w:cs="Times New Roman"/>
          <w:lang w:eastAsia="es-ES"/>
        </w:rPr>
        <w:t xml:space="preserve">, como activar o desactivar los frenos, el volante </w:t>
      </w:r>
      <w:r w:rsidR="00940264">
        <w:rPr>
          <w:rFonts w:ascii="Times New Roman" w:eastAsia="Times New Roman" w:hAnsi="Times New Roman" w:cs="Times New Roman"/>
          <w:lang w:eastAsia="es-ES"/>
        </w:rPr>
        <w:t>o</w:t>
      </w:r>
      <w:r w:rsidR="007B41E7">
        <w:rPr>
          <w:rFonts w:ascii="Times New Roman" w:eastAsia="Times New Roman" w:hAnsi="Times New Roman" w:cs="Times New Roman"/>
          <w:lang w:eastAsia="es-ES"/>
        </w:rPr>
        <w:t xml:space="preserve"> aumentar la velocidad del vehículo</w:t>
      </w:r>
      <w:r w:rsidR="00A61282">
        <w:rPr>
          <w:rStyle w:val="Refdenotaalpie"/>
          <w:rFonts w:ascii="Times New Roman" w:eastAsia="Times New Roman" w:hAnsi="Times New Roman" w:cs="Times New Roman"/>
          <w:lang w:eastAsia="es-ES"/>
        </w:rPr>
        <w:footnoteReference w:id="8"/>
      </w:r>
      <w:r w:rsidR="00A61282" w:rsidRPr="00111F30">
        <w:rPr>
          <w:rFonts w:ascii="Times New Roman" w:eastAsia="Times New Roman" w:hAnsi="Times New Roman" w:cs="Times New Roman"/>
          <w:lang w:eastAsia="es-ES"/>
        </w:rPr>
        <w:t xml:space="preserve">. </w:t>
      </w:r>
      <w:r w:rsidR="00F42C84" w:rsidRPr="00F42C84">
        <w:rPr>
          <w:rFonts w:ascii="Times New Roman" w:hAnsi="Times New Roman" w:cs="Times New Roman"/>
        </w:rPr>
        <w:t xml:space="preserve">Los investigadores ya han demostrado que los vehículos </w:t>
      </w:r>
      <w:r w:rsidR="00940264">
        <w:rPr>
          <w:rFonts w:ascii="Times New Roman" w:hAnsi="Times New Roman" w:cs="Times New Roman"/>
        </w:rPr>
        <w:t>inteligentes</w:t>
      </w:r>
      <w:r w:rsidR="00F42C84" w:rsidRPr="00F42C84">
        <w:rPr>
          <w:rFonts w:ascii="Times New Roman" w:hAnsi="Times New Roman" w:cs="Times New Roman"/>
        </w:rPr>
        <w:t xml:space="preserve"> e informatizados pueden ser secuestrados con sólo un ordenador portátil, un hardware de bajo coste </w:t>
      </w:r>
      <w:r w:rsidR="00F42C84">
        <w:rPr>
          <w:rFonts w:ascii="Times New Roman" w:hAnsi="Times New Roman" w:cs="Times New Roman"/>
        </w:rPr>
        <w:t>o</w:t>
      </w:r>
      <w:r w:rsidR="00F42C84" w:rsidRPr="00F42C84">
        <w:rPr>
          <w:rFonts w:ascii="Times New Roman" w:hAnsi="Times New Roman" w:cs="Times New Roman"/>
        </w:rPr>
        <w:t xml:space="preserve"> un software fácil de obtener. Los piratas informáticos </w:t>
      </w:r>
      <w:r w:rsidR="007B41E7">
        <w:rPr>
          <w:rFonts w:ascii="Times New Roman" w:hAnsi="Times New Roman" w:cs="Times New Roman"/>
        </w:rPr>
        <w:t xml:space="preserve">ya </w:t>
      </w:r>
      <w:r w:rsidR="00F42C84" w:rsidRPr="00F42C84">
        <w:rPr>
          <w:rFonts w:ascii="Times New Roman" w:hAnsi="Times New Roman" w:cs="Times New Roman"/>
        </w:rPr>
        <w:t>han demostrado que pueden controlar a distancia la dirección</w:t>
      </w:r>
      <w:r w:rsidR="00F42C84">
        <w:rPr>
          <w:rFonts w:ascii="Times New Roman" w:hAnsi="Times New Roman" w:cs="Times New Roman"/>
        </w:rPr>
        <w:t>, e incluso</w:t>
      </w:r>
      <w:r w:rsidR="00F42C84" w:rsidRPr="00F42C84">
        <w:rPr>
          <w:rFonts w:ascii="Times New Roman" w:hAnsi="Times New Roman" w:cs="Times New Roman"/>
        </w:rPr>
        <w:t xml:space="preserve"> desactivar los frenos y apagar el motor a distancia cuando el vehículo está en movimiento</w:t>
      </w:r>
      <w:r w:rsidR="00F42C84" w:rsidRPr="00F42C84">
        <w:rPr>
          <w:rStyle w:val="Refdenotaalpie"/>
          <w:rFonts w:ascii="Times New Roman" w:hAnsi="Times New Roman" w:cs="Times New Roman"/>
        </w:rPr>
        <w:footnoteReference w:id="9"/>
      </w:r>
      <w:r w:rsidR="00F42C84" w:rsidRPr="00F42C84">
        <w:rPr>
          <w:rFonts w:ascii="Times New Roman" w:hAnsi="Times New Roman" w:cs="Times New Roman"/>
        </w:rPr>
        <w:t>.</w:t>
      </w:r>
      <w:r w:rsidR="00F42C84">
        <w:rPr>
          <w:rFonts w:ascii="Times New Roman" w:hAnsi="Times New Roman" w:cs="Times New Roman"/>
        </w:rPr>
        <w:t xml:space="preserve"> </w:t>
      </w:r>
    </w:p>
    <w:p w14:paraId="4476DC3E" w14:textId="74CBBF28" w:rsidR="00B44FC3" w:rsidRDefault="00B44FC3" w:rsidP="00B44FC3">
      <w:pPr>
        <w:shd w:val="clear" w:color="auto" w:fill="FFFFFF"/>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A ello se le suma otra vulnerabilidad, y es que recopilan una gran cantidad de información personal de los </w:t>
      </w:r>
      <w:r w:rsidR="00940264">
        <w:rPr>
          <w:rFonts w:ascii="Times New Roman" w:eastAsia="Times New Roman" w:hAnsi="Times New Roman" w:cs="Times New Roman"/>
          <w:lang w:eastAsia="es-ES"/>
        </w:rPr>
        <w:t xml:space="preserve">usuarios y </w:t>
      </w:r>
      <w:r>
        <w:rPr>
          <w:rFonts w:ascii="Times New Roman" w:eastAsia="Times New Roman" w:hAnsi="Times New Roman" w:cs="Times New Roman"/>
          <w:lang w:eastAsia="es-ES"/>
        </w:rPr>
        <w:t>pasajeros, como la ubicación, los hábitos de conducción y las preferencias de entretenimiento. Esta información puede ser muy valiosa para los hackers, ya que puede ser utilizada para actividades fraudulentas o para violar la privacidad de los usuarios</w:t>
      </w:r>
      <w:r w:rsidRPr="00CF5FF8">
        <w:rPr>
          <w:rStyle w:val="Refdenotaalpie"/>
          <w:rFonts w:ascii="Times New Roman" w:hAnsi="Times New Roman" w:cs="Times New Roman"/>
          <w:shd w:val="clear" w:color="auto" w:fill="F5F5F5"/>
        </w:rPr>
        <w:footnoteReference w:id="10"/>
      </w:r>
      <w:r>
        <w:rPr>
          <w:rFonts w:ascii="Times New Roman" w:eastAsia="Times New Roman" w:hAnsi="Times New Roman" w:cs="Times New Roman"/>
          <w:lang w:eastAsia="es-ES"/>
        </w:rPr>
        <w:t>.</w:t>
      </w:r>
      <w:r w:rsidR="00F42C84">
        <w:rPr>
          <w:rFonts w:ascii="Times New Roman" w:eastAsia="Times New Roman" w:hAnsi="Times New Roman" w:cs="Times New Roman"/>
          <w:lang w:eastAsia="es-ES"/>
        </w:rPr>
        <w:t xml:space="preserve"> </w:t>
      </w:r>
      <w:r w:rsidR="00F42C84" w:rsidRPr="00F42C84">
        <w:rPr>
          <w:rFonts w:ascii="Times New Roman" w:hAnsi="Times New Roman" w:cs="Times New Roman"/>
        </w:rPr>
        <w:t xml:space="preserve">Los datos privados de los teléfonos inteligentes, como el correo electrónico, los mensajes de texto, los contactos y otros datos personales, podrían ser robados por los piratas informáticos a través del vehículo si dichos datos pasan por sus sistemas de información. La información sobre la ubicación de los vehículos incluso puede utilizarse para determinar cuándo están ausentes los ocupantes de una casa, </w:t>
      </w:r>
      <w:r w:rsidR="00F42C84">
        <w:rPr>
          <w:rFonts w:ascii="Times New Roman" w:hAnsi="Times New Roman" w:cs="Times New Roman"/>
        </w:rPr>
        <w:t xml:space="preserve">dando </w:t>
      </w:r>
      <w:r w:rsidR="00F42C84" w:rsidRPr="00F42C84">
        <w:rPr>
          <w:rFonts w:ascii="Times New Roman" w:hAnsi="Times New Roman" w:cs="Times New Roman"/>
        </w:rPr>
        <w:t>a los ladrones una oportunidad</w:t>
      </w:r>
      <w:r w:rsidR="00F42C84" w:rsidRPr="00F42C84">
        <w:rPr>
          <w:rStyle w:val="Refdenotaalpie"/>
          <w:rFonts w:ascii="Times New Roman" w:hAnsi="Times New Roman" w:cs="Times New Roman"/>
        </w:rPr>
        <w:footnoteReference w:id="11"/>
      </w:r>
      <w:r w:rsidR="00F42C84" w:rsidRPr="00F42C84">
        <w:rPr>
          <w:rFonts w:ascii="Times New Roman" w:hAnsi="Times New Roman" w:cs="Times New Roman"/>
        </w:rPr>
        <w:t>.</w:t>
      </w:r>
    </w:p>
    <w:p w14:paraId="26E44190" w14:textId="77777777" w:rsidR="00B44FC3" w:rsidRDefault="00B44FC3" w:rsidP="00B44FC3">
      <w:pPr>
        <w:shd w:val="clear" w:color="auto" w:fill="FFFFFF"/>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En definitiva, s</w:t>
      </w:r>
      <w:r w:rsidRPr="006E1C14">
        <w:rPr>
          <w:rFonts w:ascii="Times New Roman" w:eastAsia="Times New Roman" w:hAnsi="Times New Roman" w:cs="Times New Roman"/>
          <w:lang w:eastAsia="es-ES"/>
        </w:rPr>
        <w:t xml:space="preserve">on principalmente dos los riesgos </w:t>
      </w:r>
      <w:r w:rsidRPr="00111F30">
        <w:rPr>
          <w:rFonts w:ascii="Times New Roman" w:eastAsia="Times New Roman" w:hAnsi="Times New Roman" w:cs="Times New Roman"/>
          <w:lang w:eastAsia="es-ES"/>
        </w:rPr>
        <w:t>asociados con la piratería de vehículos autónomos:</w:t>
      </w:r>
      <w:r w:rsidRPr="006E1C14">
        <w:rPr>
          <w:rFonts w:ascii="Times New Roman" w:eastAsia="Times New Roman" w:hAnsi="Times New Roman" w:cs="Times New Roman"/>
          <w:lang w:eastAsia="es-ES"/>
        </w:rPr>
        <w:t xml:space="preserve"> 1) e</w:t>
      </w:r>
      <w:r w:rsidRPr="00111F30">
        <w:rPr>
          <w:rFonts w:ascii="Times New Roman" w:eastAsia="Times New Roman" w:hAnsi="Times New Roman" w:cs="Times New Roman"/>
          <w:lang w:eastAsia="es-ES"/>
        </w:rPr>
        <w:t>l hacker p</w:t>
      </w:r>
      <w:r w:rsidRPr="006E1C14">
        <w:rPr>
          <w:rFonts w:ascii="Times New Roman" w:eastAsia="Times New Roman" w:hAnsi="Times New Roman" w:cs="Times New Roman"/>
          <w:lang w:eastAsia="es-ES"/>
        </w:rPr>
        <w:t>uede</w:t>
      </w:r>
      <w:r w:rsidRPr="00111F30">
        <w:rPr>
          <w:rFonts w:ascii="Times New Roman" w:eastAsia="Times New Roman" w:hAnsi="Times New Roman" w:cs="Times New Roman"/>
          <w:lang w:eastAsia="es-ES"/>
        </w:rPr>
        <w:t xml:space="preserve"> tomar el control del automóvil de forma remota</w:t>
      </w:r>
      <w:r>
        <w:rPr>
          <w:rStyle w:val="Refdenotaalpie"/>
          <w:rFonts w:ascii="Times New Roman" w:eastAsia="Times New Roman" w:hAnsi="Times New Roman" w:cs="Times New Roman"/>
          <w:lang w:eastAsia="es-ES"/>
        </w:rPr>
        <w:footnoteReference w:id="12"/>
      </w:r>
      <w:r w:rsidRPr="006E1C14">
        <w:rPr>
          <w:rFonts w:ascii="Times New Roman" w:eastAsia="Times New Roman" w:hAnsi="Times New Roman" w:cs="Times New Roman"/>
          <w:lang w:eastAsia="es-ES"/>
        </w:rPr>
        <w:t>, y 2) e</w:t>
      </w:r>
      <w:r w:rsidRPr="00111F30">
        <w:rPr>
          <w:rFonts w:ascii="Times New Roman" w:eastAsia="Times New Roman" w:hAnsi="Times New Roman" w:cs="Times New Roman"/>
          <w:lang w:eastAsia="es-ES"/>
        </w:rPr>
        <w:t>l hacker p</w:t>
      </w:r>
      <w:r w:rsidRPr="006E1C14">
        <w:rPr>
          <w:rFonts w:ascii="Times New Roman" w:eastAsia="Times New Roman" w:hAnsi="Times New Roman" w:cs="Times New Roman"/>
          <w:lang w:eastAsia="es-ES"/>
        </w:rPr>
        <w:t>uede</w:t>
      </w:r>
      <w:r w:rsidRPr="00111F30">
        <w:rPr>
          <w:rFonts w:ascii="Times New Roman" w:eastAsia="Times New Roman" w:hAnsi="Times New Roman" w:cs="Times New Roman"/>
          <w:lang w:eastAsia="es-ES"/>
        </w:rPr>
        <w:t xml:space="preserve"> acceder a la información personal de los usuarios</w:t>
      </w:r>
      <w:r>
        <w:rPr>
          <w:rStyle w:val="Refdenotaalpie"/>
          <w:rFonts w:ascii="Times New Roman" w:eastAsia="Times New Roman" w:hAnsi="Times New Roman" w:cs="Times New Roman"/>
          <w:lang w:eastAsia="es-ES"/>
        </w:rPr>
        <w:footnoteReference w:id="13"/>
      </w:r>
      <w:r w:rsidRPr="00111F30">
        <w:rPr>
          <w:rFonts w:ascii="Times New Roman" w:eastAsia="Times New Roman" w:hAnsi="Times New Roman" w:cs="Times New Roman"/>
          <w:lang w:eastAsia="es-ES"/>
        </w:rPr>
        <w:t>.</w:t>
      </w:r>
      <w:r w:rsidRPr="006E1C14">
        <w:rPr>
          <w:rFonts w:ascii="Times New Roman" w:eastAsia="Times New Roman" w:hAnsi="Times New Roman" w:cs="Times New Roman"/>
          <w:lang w:eastAsia="es-ES"/>
        </w:rPr>
        <w:t xml:space="preserve"> </w:t>
      </w:r>
    </w:p>
    <w:p w14:paraId="0F3E7BF9" w14:textId="41071445" w:rsidR="00FC331F" w:rsidRDefault="00B44FC3" w:rsidP="00B44FC3">
      <w:pPr>
        <w:shd w:val="clear" w:color="auto" w:fill="FFFFFF"/>
        <w:spacing w:after="0" w:line="240"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 xml:space="preserve">         Desde la Unión Europea (UE) </w:t>
      </w:r>
      <w:r w:rsidR="00940264">
        <w:rPr>
          <w:rFonts w:ascii="Times New Roman" w:eastAsia="Times New Roman" w:hAnsi="Times New Roman" w:cs="Times New Roman"/>
          <w:lang w:eastAsia="es-ES"/>
        </w:rPr>
        <w:t xml:space="preserve">se está potenciando el desarrollo de los CAV por los muchos beneficios que aportarán, pero al mismo tiempo, siendo consciente de estos peligros que comportan </w:t>
      </w:r>
      <w:r>
        <w:rPr>
          <w:rFonts w:ascii="Times New Roman" w:eastAsia="Times New Roman" w:hAnsi="Times New Roman" w:cs="Times New Roman"/>
          <w:lang w:eastAsia="es-ES"/>
        </w:rPr>
        <w:t>se han presentado iniciativas que reconocen la creciente importancia de la protección de los datos personales y de la privacidad</w:t>
      </w:r>
      <w:r w:rsidR="00940264">
        <w:rPr>
          <w:rFonts w:ascii="Times New Roman" w:eastAsia="Times New Roman" w:hAnsi="Times New Roman" w:cs="Times New Roman"/>
          <w:lang w:eastAsia="es-ES"/>
        </w:rPr>
        <w:t xml:space="preserve">. </w:t>
      </w:r>
      <w:r w:rsidR="00FC331F">
        <w:rPr>
          <w:rFonts w:ascii="Times New Roman" w:eastAsia="Times New Roman" w:hAnsi="Times New Roman" w:cs="Times New Roman"/>
          <w:lang w:eastAsia="es-ES"/>
        </w:rPr>
        <w:t xml:space="preserve">Por su incidencia en los vehículos autónomos </w:t>
      </w:r>
      <w:r w:rsidR="00940264">
        <w:rPr>
          <w:rFonts w:ascii="Times New Roman" w:eastAsia="Times New Roman" w:hAnsi="Times New Roman" w:cs="Times New Roman"/>
          <w:lang w:eastAsia="es-ES"/>
        </w:rPr>
        <w:t>deben resaltarse</w:t>
      </w:r>
      <w:r w:rsidR="00FC331F">
        <w:rPr>
          <w:rFonts w:ascii="Times New Roman" w:eastAsia="Times New Roman" w:hAnsi="Times New Roman" w:cs="Times New Roman"/>
          <w:lang w:eastAsia="es-ES"/>
        </w:rPr>
        <w:t xml:space="preserve"> las siguientes:</w:t>
      </w:r>
    </w:p>
    <w:p w14:paraId="20680BDE" w14:textId="136BE55B" w:rsidR="00F10237" w:rsidRDefault="00F10237" w:rsidP="00F10237">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eastAsia="es-ES"/>
        </w:rPr>
        <w:t xml:space="preserve">         Las </w:t>
      </w:r>
      <w:r w:rsidRPr="001E4FD0">
        <w:rPr>
          <w:rFonts w:ascii="Times New Roman" w:eastAsia="Times New Roman" w:hAnsi="Times New Roman" w:cs="Times New Roman"/>
          <w:i/>
          <w:iCs/>
          <w:lang w:eastAsia="es-ES"/>
        </w:rPr>
        <w:t>Directrices 1/2020, sobre el tratamiento de datos personales en el contexto de los vehículos conectados y las aplicaciones relacionadas con la movilidad</w:t>
      </w:r>
      <w:r>
        <w:rPr>
          <w:rStyle w:val="Refdenotaalpie"/>
          <w:rFonts w:ascii="Times New Roman" w:eastAsia="Times New Roman" w:hAnsi="Times New Roman" w:cs="Times New Roman"/>
          <w:lang w:eastAsia="es-ES"/>
        </w:rPr>
        <w:footnoteReference w:id="14"/>
      </w:r>
      <w:r>
        <w:rPr>
          <w:rFonts w:ascii="Times New Roman" w:eastAsia="Times New Roman" w:hAnsi="Times New Roman" w:cs="Times New Roman"/>
          <w:lang w:eastAsia="es-ES"/>
        </w:rPr>
        <w:t xml:space="preserve">, en las que partiendo de la cada vez mayor conectividad de los vehículos, que genera cantidades de datos cada vez mayores, la mayoría de los cuales pueden considerarse datos personales relacionados con los </w:t>
      </w:r>
      <w:r>
        <w:rPr>
          <w:rFonts w:ascii="Times New Roman" w:eastAsia="Times New Roman" w:hAnsi="Times New Roman" w:cs="Times New Roman"/>
          <w:lang w:eastAsia="es-ES"/>
        </w:rPr>
        <w:lastRenderedPageBreak/>
        <w:t xml:space="preserve">pasajeros, tienen por objeto facilitar el cumplimiento del tratamiento de los datos personales realizado por una amplia gama de partes interesadas que operan en este entorno. </w:t>
      </w:r>
      <w:r w:rsidRPr="008866BB">
        <w:rPr>
          <w:rFonts w:ascii="Times New Roman" w:eastAsia="Times New Roman" w:hAnsi="Times New Roman" w:cs="Times New Roman"/>
          <w:lang w:eastAsia="es-ES"/>
        </w:rPr>
        <w:t xml:space="preserve">El ámbito de aplicación de estas </w:t>
      </w:r>
      <w:r>
        <w:rPr>
          <w:rFonts w:ascii="Times New Roman" w:eastAsia="Times New Roman" w:hAnsi="Times New Roman" w:cs="Times New Roman"/>
          <w:lang w:eastAsia="es-ES"/>
        </w:rPr>
        <w:t>D</w:t>
      </w:r>
      <w:r w:rsidRPr="008866BB">
        <w:rPr>
          <w:rFonts w:ascii="Times New Roman" w:eastAsia="Times New Roman" w:hAnsi="Times New Roman" w:cs="Times New Roman"/>
          <w:lang w:eastAsia="es-ES"/>
        </w:rPr>
        <w:t xml:space="preserve">irectrices se centra </w:t>
      </w:r>
      <w:r w:rsidRPr="008866BB">
        <w:rPr>
          <w:rFonts w:ascii="Times New Roman" w:hAnsi="Times New Roman" w:cs="Times New Roman"/>
        </w:rPr>
        <w:t xml:space="preserve">en los datos personales que se tratan dentro del vehículo, </w:t>
      </w:r>
      <w:r>
        <w:rPr>
          <w:rFonts w:ascii="Times New Roman" w:hAnsi="Times New Roman" w:cs="Times New Roman"/>
        </w:rPr>
        <w:t>que</w:t>
      </w:r>
      <w:r w:rsidRPr="008866BB">
        <w:rPr>
          <w:rFonts w:ascii="Times New Roman" w:hAnsi="Times New Roman" w:cs="Times New Roman"/>
        </w:rPr>
        <w:t xml:space="preserve"> se intercambian entre el vehículo y los dispositivos personales conectados a él (por ejemplo, el teléfono inteligente del usuario) o </w:t>
      </w:r>
      <w:r>
        <w:rPr>
          <w:rFonts w:ascii="Times New Roman" w:hAnsi="Times New Roman" w:cs="Times New Roman"/>
        </w:rPr>
        <w:t>que</w:t>
      </w:r>
      <w:r w:rsidRPr="008866BB">
        <w:rPr>
          <w:rFonts w:ascii="Times New Roman" w:hAnsi="Times New Roman" w:cs="Times New Roman"/>
        </w:rPr>
        <w:t xml:space="preserve"> se recogen localmente en el vehículo y se exportan a entidades externas (por ejemplo, fabricantes de vehículos, administradores de infraestructuras, compañías de seguros, reparadores de automóviles) para su tratamiento ulterior</w:t>
      </w:r>
      <w:r>
        <w:rPr>
          <w:rStyle w:val="Refdenotaalpie"/>
          <w:rFonts w:ascii="Times New Roman" w:hAnsi="Times New Roman" w:cs="Times New Roman"/>
        </w:rPr>
        <w:footnoteReference w:id="15"/>
      </w:r>
      <w:r w:rsidRPr="008866BB">
        <w:rPr>
          <w:rFonts w:ascii="Times New Roman" w:hAnsi="Times New Roman" w:cs="Times New Roman"/>
        </w:rPr>
        <w:t>.</w:t>
      </w:r>
      <w:r>
        <w:rPr>
          <w:rFonts w:ascii="Times New Roman" w:hAnsi="Times New Roman" w:cs="Times New Roman"/>
        </w:rPr>
        <w:t xml:space="preserve"> </w:t>
      </w:r>
    </w:p>
    <w:p w14:paraId="55C2F000" w14:textId="7559483A" w:rsidR="00AB6E4C" w:rsidRDefault="00AB6E4C" w:rsidP="00AB6E4C">
      <w:pPr>
        <w:pStyle w:val="Defaul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hd w:val="clear" w:color="auto" w:fill="FFFFFF"/>
        </w:rPr>
        <w:t xml:space="preserve">La </w:t>
      </w:r>
      <w:r w:rsidRPr="00A56591">
        <w:rPr>
          <w:rFonts w:ascii="Times New Roman" w:hAnsi="Times New Roman" w:cs="Times New Roman"/>
          <w:i/>
          <w:iCs/>
          <w:shd w:val="clear" w:color="auto" w:fill="FFFFFF"/>
        </w:rPr>
        <w:t>D</w:t>
      </w:r>
      <w:r w:rsidRPr="00A56591">
        <w:rPr>
          <w:rFonts w:ascii="Times New Roman" w:hAnsi="Times New Roman" w:cs="Times New Roman"/>
          <w:i/>
          <w:iCs/>
        </w:rPr>
        <w:t>irectiva 2022/2555 del Parlamento Europeo y del Consejo, de 14 de diciembre de 2022, relativa a las medidas destinadas a garantizar un elevado nivel común de ciberseguridad en toda la Unión, por la que se modifican el Reglamento 910/2014 y la Directiva 2018/1972 y por la que se deroga la Directiva 2016/1148 (Directiva SRI 2)</w:t>
      </w:r>
      <w:r>
        <w:rPr>
          <w:rStyle w:val="Refdenotaalpie"/>
          <w:rFonts w:ascii="Times New Roman" w:hAnsi="Times New Roman" w:cs="Times New Roman"/>
          <w:i/>
          <w:iCs/>
        </w:rPr>
        <w:footnoteReference w:id="16"/>
      </w:r>
      <w:r>
        <w:rPr>
          <w:rFonts w:ascii="Times New Roman" w:hAnsi="Times New Roman" w:cs="Times New Roman"/>
        </w:rPr>
        <w:t>, que debe transponerse a nuestro ordenamiento español, a más tardar, el 17 de octubre de 2024. Establece las medidas y obligaciones que los Estados miembros deben adoptar al objeto de alcanzar un elevado nivel común de ciberseguridad</w:t>
      </w:r>
      <w:r>
        <w:rPr>
          <w:rStyle w:val="Refdenotaalpie"/>
          <w:rFonts w:ascii="Times New Roman" w:hAnsi="Times New Roman" w:cs="Times New Roman"/>
        </w:rPr>
        <w:footnoteReference w:id="17"/>
      </w:r>
      <w:r>
        <w:rPr>
          <w:rFonts w:ascii="Times New Roman" w:hAnsi="Times New Roman" w:cs="Times New Roman"/>
        </w:rPr>
        <w:t>.</w:t>
      </w:r>
    </w:p>
    <w:p w14:paraId="327E21F8" w14:textId="64237BC3" w:rsidR="00AB6E4C" w:rsidRDefault="00AB6E4C" w:rsidP="00AB6E4C">
      <w:pPr>
        <w:pStyle w:val="Default"/>
        <w:jc w:val="both"/>
        <w:rPr>
          <w:rFonts w:ascii="Times New Roman" w:hAnsi="Times New Roman" w:cs="Times New Roman"/>
        </w:rPr>
      </w:pPr>
      <w:r>
        <w:rPr>
          <w:rFonts w:ascii="Times New Roman" w:hAnsi="Times New Roman" w:cs="Times New Roman"/>
        </w:rPr>
        <w:t xml:space="preserve">        Dentro de los sectores que considera de alta criticidad se encuentra el sector del transporte en todas sus modalidades y, asimismo, todos los proveedores de infraestructuras digitales</w:t>
      </w:r>
      <w:r>
        <w:rPr>
          <w:rStyle w:val="Refdenotaalpie"/>
          <w:rFonts w:ascii="Times New Roman" w:hAnsi="Times New Roman" w:cs="Times New Roman"/>
        </w:rPr>
        <w:footnoteReference w:id="18"/>
      </w:r>
      <w:r>
        <w:rPr>
          <w:rFonts w:ascii="Times New Roman" w:hAnsi="Times New Roman" w:cs="Times New Roman"/>
        </w:rPr>
        <w:t>.</w:t>
      </w:r>
    </w:p>
    <w:p w14:paraId="348D39A8" w14:textId="0CC8F9AF" w:rsidR="00FC331F" w:rsidRDefault="00FC331F" w:rsidP="00AB6E4C">
      <w:pPr>
        <w:shd w:val="clear" w:color="auto" w:fill="FFFFFF"/>
        <w:spacing w:after="0" w:line="240" w:lineRule="auto"/>
        <w:jc w:val="both"/>
        <w:rPr>
          <w:rFonts w:ascii="Times New Roman" w:eastAsia="Times New Roman" w:hAnsi="Times New Roman" w:cs="Times New Roman"/>
          <w:lang w:eastAsia="es-ES"/>
        </w:rPr>
      </w:pPr>
      <w:r>
        <w:rPr>
          <w:rFonts w:ascii="Times New Roman" w:hAnsi="Times New Roman" w:cs="Times New Roman"/>
        </w:rPr>
        <w:t xml:space="preserve">         </w:t>
      </w:r>
      <w:r>
        <w:rPr>
          <w:rFonts w:ascii="Times New Roman" w:eastAsia="Times New Roman" w:hAnsi="Times New Roman" w:cs="Times New Roman"/>
          <w:lang w:eastAsia="es-ES"/>
        </w:rPr>
        <w:t xml:space="preserve">La creciente importancia y valor de los activos inmateriales en los productos tecnológicos ha sido reconocida </w:t>
      </w:r>
      <w:r w:rsidR="007A3B86">
        <w:rPr>
          <w:rFonts w:ascii="Times New Roman" w:eastAsia="Times New Roman" w:hAnsi="Times New Roman" w:cs="Times New Roman"/>
          <w:lang w:eastAsia="es-ES"/>
        </w:rPr>
        <w:t xml:space="preserve">asimismo </w:t>
      </w:r>
      <w:r>
        <w:rPr>
          <w:rFonts w:ascii="Times New Roman" w:eastAsia="Times New Roman" w:hAnsi="Times New Roman" w:cs="Times New Roman"/>
          <w:lang w:eastAsia="es-ES"/>
        </w:rPr>
        <w:t xml:space="preserve">en la nueva </w:t>
      </w:r>
      <w:r>
        <w:rPr>
          <w:rFonts w:ascii="Times New Roman" w:hAnsi="Times New Roman" w:cs="Times New Roman"/>
          <w:spacing w:val="-5"/>
          <w:shd w:val="clear" w:color="auto" w:fill="FFFFFF"/>
        </w:rPr>
        <w:t xml:space="preserve">la nueva </w:t>
      </w:r>
      <w:bookmarkStart w:id="1" w:name="_Hlk182409201"/>
      <w:r w:rsidRPr="004809F8">
        <w:rPr>
          <w:rFonts w:ascii="Times New Roman" w:hAnsi="Times New Roman" w:cs="Times New Roman"/>
          <w:i/>
          <w:iCs/>
        </w:rPr>
        <w:t xml:space="preserve">Directiva del Parlamento Europeo y del Consejo, </w:t>
      </w:r>
      <w:bookmarkStart w:id="2" w:name="_Hlk183008060"/>
      <w:r>
        <w:rPr>
          <w:rFonts w:ascii="Times New Roman" w:hAnsi="Times New Roman" w:cs="Times New Roman"/>
          <w:i/>
          <w:iCs/>
        </w:rPr>
        <w:t xml:space="preserve">de 23 de octubre de 2024, </w:t>
      </w:r>
      <w:r w:rsidRPr="004809F8">
        <w:rPr>
          <w:rFonts w:ascii="Times New Roman" w:hAnsi="Times New Roman" w:cs="Times New Roman"/>
          <w:i/>
          <w:iCs/>
        </w:rPr>
        <w:t>sobre responsabilidad por productos defectuosos</w:t>
      </w:r>
      <w:bookmarkEnd w:id="1"/>
      <w:bookmarkEnd w:id="2"/>
      <w:r w:rsidRPr="004809F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y por la que se deroga la Directiva 85/374/CEE del Consejo</w:t>
      </w:r>
      <w:r>
        <w:rPr>
          <w:rStyle w:val="Refdenotaalpie"/>
          <w:rFonts w:ascii="Times New Roman" w:hAnsi="Times New Roman" w:cs="Times New Roman"/>
        </w:rPr>
        <w:footnoteReference w:id="19"/>
      </w:r>
      <w:r>
        <w:rPr>
          <w:rFonts w:ascii="Times New Roman" w:eastAsia="Times New Roman" w:hAnsi="Times New Roman" w:cs="Times New Roman"/>
          <w:lang w:eastAsia="es-ES"/>
        </w:rPr>
        <w:t>, aclarándose que debe indemnizarse la destrucción o corrupción de datos, incluido el coste de restaurar o recuperar dichos datos</w:t>
      </w:r>
      <w:r>
        <w:rPr>
          <w:rStyle w:val="Refdenotaalpie"/>
          <w:rFonts w:ascii="Times New Roman" w:eastAsia="Times New Roman" w:hAnsi="Times New Roman" w:cs="Times New Roman"/>
          <w:lang w:eastAsia="es-ES"/>
        </w:rPr>
        <w:footnoteReference w:id="20"/>
      </w:r>
      <w:r>
        <w:rPr>
          <w:rFonts w:ascii="Times New Roman" w:eastAsia="Times New Roman" w:hAnsi="Times New Roman" w:cs="Times New Roman"/>
          <w:lang w:eastAsia="es-ES"/>
        </w:rPr>
        <w:t xml:space="preserve">. </w:t>
      </w:r>
    </w:p>
    <w:p w14:paraId="77A4DC5F" w14:textId="7868B215" w:rsidR="002D639F" w:rsidRPr="00734480" w:rsidRDefault="00AB6E4C" w:rsidP="002D639F">
      <w:pPr>
        <w:autoSpaceDE w:val="0"/>
        <w:autoSpaceDN w:val="0"/>
        <w:adjustRightInd w:val="0"/>
        <w:spacing w:after="0" w:line="240" w:lineRule="auto"/>
        <w:jc w:val="both"/>
        <w:rPr>
          <w:rFonts w:ascii="Times New Roman" w:hAnsi="Times New Roman" w:cs="Times New Roman"/>
          <w:color w:val="000000"/>
          <w:shd w:val="clear" w:color="auto" w:fill="FFFFFF"/>
        </w:rPr>
      </w:pPr>
      <w:r>
        <w:rPr>
          <w:rFonts w:ascii="Times New Roman" w:eastAsia="Times New Roman" w:hAnsi="Times New Roman" w:cs="Times New Roman"/>
          <w:lang w:eastAsia="es-ES"/>
        </w:rPr>
        <w:t xml:space="preserve">           La mencionada Directiva ha sido complementada con e</w:t>
      </w:r>
      <w:r w:rsidR="00F10237">
        <w:rPr>
          <w:rFonts w:ascii="Times New Roman" w:hAnsi="Times New Roman" w:cs="Times New Roman"/>
        </w:rPr>
        <w:t xml:space="preserve">l </w:t>
      </w:r>
      <w:r w:rsidR="00F10237" w:rsidRPr="00F501A6">
        <w:rPr>
          <w:rFonts w:ascii="Times New Roman" w:hAnsi="Times New Roman" w:cs="Times New Roman"/>
          <w:i/>
          <w:iCs/>
        </w:rPr>
        <w:t xml:space="preserve">Reglamento (UE) 2024/2847 del Parlamento Europeo y del Consejo, de 23 de octubre de 2024, relativo a los requisitos horizontales de ciberseguridad para los productos con elementos digitales y por el que se modifica el Reglamento (UE) 168/2013 y el Reglamento (UE) 2019/1020 y la Directiva (UE) 2020/1828 (Reglamento de </w:t>
      </w:r>
      <w:proofErr w:type="spellStart"/>
      <w:r w:rsidR="00F10237" w:rsidRPr="00F501A6">
        <w:rPr>
          <w:rFonts w:ascii="Times New Roman" w:hAnsi="Times New Roman" w:cs="Times New Roman"/>
          <w:i/>
          <w:iCs/>
        </w:rPr>
        <w:t>Ciberresiliencia</w:t>
      </w:r>
      <w:proofErr w:type="spellEnd"/>
      <w:r w:rsidR="00F10237">
        <w:rPr>
          <w:rFonts w:ascii="Times New Roman" w:hAnsi="Times New Roman" w:cs="Times New Roman"/>
        </w:rPr>
        <w:t>)</w:t>
      </w:r>
      <w:r w:rsidR="00F10237">
        <w:rPr>
          <w:rStyle w:val="Refdenotaalpie"/>
          <w:rFonts w:ascii="Times New Roman" w:hAnsi="Times New Roman" w:cs="Times New Roman"/>
        </w:rPr>
        <w:footnoteReference w:id="21"/>
      </w:r>
      <w:r w:rsidR="00F10237">
        <w:rPr>
          <w:rFonts w:ascii="Times New Roman" w:hAnsi="Times New Roman" w:cs="Times New Roman"/>
        </w:rPr>
        <w:t xml:space="preserve">, </w:t>
      </w:r>
      <w:r w:rsidR="00F10237" w:rsidRPr="00734480">
        <w:rPr>
          <w:rFonts w:ascii="Times New Roman" w:hAnsi="Times New Roman" w:cs="Times New Roman"/>
        </w:rPr>
        <w:t xml:space="preserve">que tiene por objeto </w:t>
      </w:r>
      <w:r w:rsidR="00F10237">
        <w:rPr>
          <w:rFonts w:ascii="Times New Roman" w:hAnsi="Times New Roman" w:cs="Times New Roman"/>
        </w:rPr>
        <w:t xml:space="preserve">el </w:t>
      </w:r>
      <w:r w:rsidR="00F10237" w:rsidRPr="00734480">
        <w:rPr>
          <w:rFonts w:ascii="Times New Roman" w:hAnsi="Times New Roman" w:cs="Times New Roman"/>
          <w:color w:val="000000"/>
          <w:shd w:val="clear" w:color="auto" w:fill="FFFFFF"/>
        </w:rPr>
        <w:t>establecimiento de un marco jurídico uniforme relativo</w:t>
      </w:r>
      <w:r w:rsidR="002D639F">
        <w:rPr>
          <w:rFonts w:ascii="Times New Roman" w:hAnsi="Times New Roman" w:cs="Times New Roman"/>
          <w:color w:val="000000"/>
          <w:shd w:val="clear" w:color="auto" w:fill="FFFFFF"/>
        </w:rPr>
        <w:t xml:space="preserve"> </w:t>
      </w:r>
      <w:r w:rsidR="00F10237" w:rsidRPr="00734480">
        <w:rPr>
          <w:rFonts w:ascii="Times New Roman" w:hAnsi="Times New Roman" w:cs="Times New Roman"/>
          <w:color w:val="000000"/>
          <w:shd w:val="clear" w:color="auto" w:fill="FFFFFF"/>
        </w:rPr>
        <w:t xml:space="preserve">a los requisitos esenciales de ciberseguridad para la introducción de productos con elementos digitales en el mercado </w:t>
      </w:r>
      <w:r w:rsidR="00F10237">
        <w:rPr>
          <w:rFonts w:ascii="Times New Roman" w:hAnsi="Times New Roman" w:cs="Times New Roman"/>
          <w:color w:val="000000"/>
          <w:shd w:val="clear" w:color="auto" w:fill="FFFFFF"/>
        </w:rPr>
        <w:t xml:space="preserve">de </w:t>
      </w:r>
      <w:r w:rsidR="00F10237" w:rsidRPr="00734480">
        <w:rPr>
          <w:rFonts w:ascii="Times New Roman" w:hAnsi="Times New Roman" w:cs="Times New Roman"/>
          <w:color w:val="000000"/>
          <w:shd w:val="clear" w:color="auto" w:fill="FFFFFF"/>
        </w:rPr>
        <w:t xml:space="preserve">la Unión. </w:t>
      </w:r>
      <w:r w:rsidR="00F10237">
        <w:rPr>
          <w:rFonts w:ascii="Times New Roman" w:hAnsi="Times New Roman" w:cs="Times New Roman"/>
          <w:color w:val="000000"/>
          <w:shd w:val="clear" w:color="auto" w:fill="FFFFFF"/>
        </w:rPr>
        <w:t>Se considera que</w:t>
      </w:r>
      <w:r w:rsidR="00FC331F">
        <w:rPr>
          <w:rFonts w:ascii="Times New Roman" w:hAnsi="Times New Roman" w:cs="Times New Roman"/>
          <w:shd w:val="clear" w:color="auto" w:fill="FFFFFF"/>
        </w:rPr>
        <w:t>,</w:t>
      </w:r>
      <w:r w:rsidR="00F10237">
        <w:rPr>
          <w:rFonts w:ascii="Times New Roman" w:hAnsi="Times New Roman" w:cs="Times New Roman"/>
          <w:color w:val="000000"/>
          <w:shd w:val="clear" w:color="auto" w:fill="FFFFFF"/>
        </w:rPr>
        <w:t xml:space="preserve"> a</w:t>
      </w:r>
      <w:r w:rsidR="00F10237" w:rsidRPr="00734480">
        <w:rPr>
          <w:rFonts w:ascii="Times New Roman" w:hAnsi="Times New Roman" w:cs="Times New Roman"/>
          <w:color w:val="000000"/>
          <w:shd w:val="clear" w:color="auto" w:fill="FFFFFF"/>
        </w:rPr>
        <w:t>unque el Derecho vigente de la Unión se aplica a determinados productos con elementos digitales, no existe un marco regulador horizontal que establezca requisitos de ciberseguridad exhaustivos para todos los productos con elementos digitales. Los diversos actos e iniciativas adoptados hasta la fecha a escala de la Unión abordan solo de manera parcial los problemas y riesgos detectados en relación con la ciberseguridad, creando un mosaico legislativo dentro del mercado interior, aumentando la inseguridad jurídica tanto para los fabricantes como para los usuarios de dichos productos</w:t>
      </w:r>
      <w:r w:rsidR="00F10237">
        <w:rPr>
          <w:rStyle w:val="Refdenotaalpie"/>
          <w:rFonts w:ascii="Times New Roman" w:hAnsi="Times New Roman" w:cs="Times New Roman"/>
          <w:color w:val="000000"/>
          <w:shd w:val="clear" w:color="auto" w:fill="FFFFFF"/>
        </w:rPr>
        <w:footnoteReference w:id="22"/>
      </w:r>
      <w:r w:rsidR="00F10237">
        <w:rPr>
          <w:rFonts w:ascii="Times New Roman" w:hAnsi="Times New Roman" w:cs="Times New Roman"/>
          <w:color w:val="000000"/>
          <w:shd w:val="clear" w:color="auto" w:fill="FFFFFF"/>
        </w:rPr>
        <w:t>.</w:t>
      </w:r>
      <w:r w:rsidR="007B269E">
        <w:rPr>
          <w:rFonts w:ascii="Times New Roman" w:hAnsi="Times New Roman" w:cs="Times New Roman"/>
          <w:color w:val="000000"/>
          <w:shd w:val="clear" w:color="auto" w:fill="FFFFFF"/>
        </w:rPr>
        <w:t xml:space="preserve"> </w:t>
      </w:r>
      <w:r w:rsidR="002D639F">
        <w:rPr>
          <w:rFonts w:ascii="Times New Roman" w:hAnsi="Times New Roman" w:cs="Times New Roman"/>
          <w:color w:val="000000"/>
          <w:shd w:val="clear" w:color="auto" w:fill="FFFFFF"/>
        </w:rPr>
        <w:t>El Reglamento cataloga las vulnerabilidades</w:t>
      </w:r>
      <w:r w:rsidR="002D639F">
        <w:rPr>
          <w:rStyle w:val="Refdenotaalpie"/>
          <w:rFonts w:ascii="Times New Roman" w:hAnsi="Times New Roman" w:cs="Times New Roman"/>
          <w:color w:val="000000"/>
          <w:shd w:val="clear" w:color="auto" w:fill="FFFFFF"/>
        </w:rPr>
        <w:footnoteReference w:id="23"/>
      </w:r>
      <w:r w:rsidR="002D639F">
        <w:rPr>
          <w:rFonts w:ascii="Times New Roman" w:hAnsi="Times New Roman" w:cs="Times New Roman"/>
          <w:color w:val="000000"/>
          <w:shd w:val="clear" w:color="auto" w:fill="FFFFFF"/>
        </w:rPr>
        <w:t xml:space="preserve">de ciberseguridad como un defecto de fabricación imputable al fabricante. </w:t>
      </w:r>
      <w:r w:rsidR="002D639F" w:rsidRPr="00734480">
        <w:rPr>
          <w:rFonts w:ascii="Times New Roman" w:hAnsi="Times New Roman" w:cs="Times New Roman"/>
          <w:color w:val="000000"/>
          <w:shd w:val="clear" w:color="auto" w:fill="FFFFFF"/>
        </w:rPr>
        <w:t xml:space="preserve">Cuando dicha falta de seguridad consista en una falta de </w:t>
      </w:r>
      <w:r w:rsidR="002D639F">
        <w:rPr>
          <w:rFonts w:ascii="Times New Roman" w:hAnsi="Times New Roman" w:cs="Times New Roman"/>
          <w:color w:val="000000"/>
          <w:shd w:val="clear" w:color="auto" w:fill="FFFFFF"/>
        </w:rPr>
        <w:t xml:space="preserve">las </w:t>
      </w:r>
      <w:r w:rsidR="002D639F" w:rsidRPr="00734480">
        <w:rPr>
          <w:rFonts w:ascii="Times New Roman" w:hAnsi="Times New Roman" w:cs="Times New Roman"/>
          <w:color w:val="000000"/>
          <w:shd w:val="clear" w:color="auto" w:fill="FFFFFF"/>
        </w:rPr>
        <w:t xml:space="preserve">actualizaciones </w:t>
      </w:r>
      <w:r w:rsidR="003245D2">
        <w:rPr>
          <w:rFonts w:ascii="Times New Roman" w:hAnsi="Times New Roman" w:cs="Times New Roman"/>
          <w:color w:val="000000"/>
          <w:shd w:val="clear" w:color="auto" w:fill="FFFFFF"/>
        </w:rPr>
        <w:t>necesarias</w:t>
      </w:r>
      <w:r w:rsidR="002D639F" w:rsidRPr="00734480">
        <w:rPr>
          <w:rFonts w:ascii="Times New Roman" w:hAnsi="Times New Roman" w:cs="Times New Roman"/>
          <w:color w:val="000000"/>
          <w:shd w:val="clear" w:color="auto" w:fill="FFFFFF"/>
        </w:rPr>
        <w:t xml:space="preserve"> posterior</w:t>
      </w:r>
      <w:r w:rsidR="003245D2">
        <w:rPr>
          <w:rFonts w:ascii="Times New Roman" w:hAnsi="Times New Roman" w:cs="Times New Roman"/>
          <w:color w:val="000000"/>
          <w:shd w:val="clear" w:color="auto" w:fill="FFFFFF"/>
        </w:rPr>
        <w:t>es</w:t>
      </w:r>
      <w:r w:rsidR="002D639F" w:rsidRPr="00734480">
        <w:rPr>
          <w:rFonts w:ascii="Times New Roman" w:hAnsi="Times New Roman" w:cs="Times New Roman"/>
          <w:color w:val="000000"/>
          <w:shd w:val="clear" w:color="auto" w:fill="FFFFFF"/>
        </w:rPr>
        <w:t xml:space="preserve"> a la introducción </w:t>
      </w:r>
      <w:r w:rsidR="002D639F" w:rsidRPr="00734480">
        <w:rPr>
          <w:rFonts w:ascii="Times New Roman" w:hAnsi="Times New Roman" w:cs="Times New Roman"/>
          <w:color w:val="000000"/>
          <w:shd w:val="clear" w:color="auto" w:fill="FFFFFF"/>
        </w:rPr>
        <w:lastRenderedPageBreak/>
        <w:t xml:space="preserve">del producto en el mercado y </w:t>
      </w:r>
      <w:r w:rsidR="003245D2">
        <w:rPr>
          <w:rFonts w:ascii="Times New Roman" w:hAnsi="Times New Roman" w:cs="Times New Roman"/>
          <w:color w:val="000000"/>
          <w:shd w:val="clear" w:color="auto" w:fill="FFFFFF"/>
        </w:rPr>
        <w:t>é</w:t>
      </w:r>
      <w:r w:rsidR="002D639F" w:rsidRPr="00734480">
        <w:rPr>
          <w:rFonts w:ascii="Times New Roman" w:hAnsi="Times New Roman" w:cs="Times New Roman"/>
          <w:color w:val="000000"/>
          <w:shd w:val="clear" w:color="auto" w:fill="FFFFFF"/>
        </w:rPr>
        <w:t xml:space="preserve">sta cause daños, </w:t>
      </w:r>
      <w:r w:rsidR="002D639F">
        <w:rPr>
          <w:rFonts w:ascii="Times New Roman" w:hAnsi="Times New Roman" w:cs="Times New Roman"/>
          <w:color w:val="000000"/>
          <w:shd w:val="clear" w:color="auto" w:fill="FFFFFF"/>
        </w:rPr>
        <w:t>se aplicará igualmente</w:t>
      </w:r>
      <w:r w:rsidR="002D639F" w:rsidRPr="00734480">
        <w:rPr>
          <w:rFonts w:ascii="Times New Roman" w:hAnsi="Times New Roman" w:cs="Times New Roman"/>
          <w:color w:val="000000"/>
          <w:shd w:val="clear" w:color="auto" w:fill="FFFFFF"/>
        </w:rPr>
        <w:t xml:space="preserve"> la responsabilidad del fabricante</w:t>
      </w:r>
      <w:r w:rsidR="002D639F">
        <w:rPr>
          <w:rFonts w:ascii="Times New Roman" w:hAnsi="Times New Roman" w:cs="Times New Roman"/>
          <w:color w:val="000000"/>
          <w:shd w:val="clear" w:color="auto" w:fill="FFFFFF"/>
        </w:rPr>
        <w:t>.</w:t>
      </w:r>
      <w:r w:rsidR="003245D2">
        <w:rPr>
          <w:rFonts w:ascii="Times New Roman" w:hAnsi="Times New Roman" w:cs="Times New Roman"/>
          <w:color w:val="000000"/>
          <w:shd w:val="clear" w:color="auto" w:fill="FFFFFF"/>
        </w:rPr>
        <w:t xml:space="preserve"> Además de las obligaciones dirigidas a los fabricantes y demás operadores, el Reglamento contempla una información e instrucciones para los usuarios dirigidas a garantizar la seguridad de éstos y un uso seguro de los productos</w:t>
      </w:r>
      <w:r w:rsidR="003245D2">
        <w:rPr>
          <w:rStyle w:val="Refdenotaalpie"/>
          <w:rFonts w:ascii="Times New Roman" w:hAnsi="Times New Roman" w:cs="Times New Roman"/>
          <w:color w:val="000000"/>
          <w:shd w:val="clear" w:color="auto" w:fill="FFFFFF"/>
        </w:rPr>
        <w:footnoteReference w:id="24"/>
      </w:r>
      <w:r w:rsidR="003245D2">
        <w:rPr>
          <w:rFonts w:ascii="Times New Roman" w:hAnsi="Times New Roman" w:cs="Times New Roman"/>
          <w:color w:val="000000"/>
          <w:shd w:val="clear" w:color="auto" w:fill="FFFFFF"/>
        </w:rPr>
        <w:t xml:space="preserve">. </w:t>
      </w:r>
      <w:r w:rsidR="003245D2">
        <w:rPr>
          <w:rFonts w:ascii="Times New Roman" w:hAnsi="Times New Roman" w:cs="Times New Roman"/>
          <w:shd w:val="clear" w:color="auto" w:fill="FFFFFF"/>
        </w:rPr>
        <w:t xml:space="preserve">    </w:t>
      </w:r>
    </w:p>
    <w:p w14:paraId="24C6B7A0" w14:textId="0AA71802" w:rsidR="00F10237" w:rsidRDefault="00F10237" w:rsidP="007B41E7">
      <w:pPr>
        <w:shd w:val="clear" w:color="auto" w:fill="FFFFFF"/>
        <w:spacing w:after="0" w:line="240" w:lineRule="auto"/>
        <w:jc w:val="both"/>
        <w:rPr>
          <w:rFonts w:ascii="Times New Roman" w:hAnsi="Times New Roman" w:cs="Times New Roman"/>
        </w:rPr>
      </w:pPr>
      <w:r>
        <w:rPr>
          <w:rFonts w:ascii="Times New Roman" w:hAnsi="Times New Roman" w:cs="Times New Roman"/>
          <w:shd w:val="clear" w:color="auto" w:fill="FFFFFF"/>
        </w:rPr>
        <w:t xml:space="preserve">    </w:t>
      </w:r>
    </w:p>
    <w:p w14:paraId="227CE1BA" w14:textId="6A5AFFD8" w:rsidR="00A61282" w:rsidRDefault="0041299B" w:rsidP="00DD41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shd w:val="clear" w:color="auto" w:fill="FFFFFF"/>
        </w:rPr>
        <w:t xml:space="preserve"> En el terreno concreto de los vehículos autónomos, la </w:t>
      </w:r>
      <w:r w:rsidRPr="00CA3C62">
        <w:rPr>
          <w:rFonts w:ascii="Times New Roman" w:hAnsi="Times New Roman" w:cs="Times New Roman"/>
        </w:rPr>
        <w:t>UE</w:t>
      </w:r>
      <w:r>
        <w:rPr>
          <w:rFonts w:ascii="Times New Roman" w:hAnsi="Times New Roman" w:cs="Times New Roman"/>
        </w:rPr>
        <w:t xml:space="preserve"> ha dado un paso </w:t>
      </w:r>
      <w:r w:rsidR="00DD41F9">
        <w:rPr>
          <w:rFonts w:ascii="Times New Roman" w:hAnsi="Times New Roman" w:cs="Times New Roman"/>
        </w:rPr>
        <w:t xml:space="preserve">más </w:t>
      </w:r>
      <w:r>
        <w:rPr>
          <w:rFonts w:ascii="Times New Roman" w:hAnsi="Times New Roman" w:cs="Times New Roman"/>
        </w:rPr>
        <w:t xml:space="preserve">adelante en la responsabilidad que puede asignarse a los fabricantes de estos vehículos con </w:t>
      </w:r>
      <w:r w:rsidRPr="00CA3C62">
        <w:rPr>
          <w:rFonts w:ascii="Times New Roman" w:hAnsi="Times New Roman" w:cs="Times New Roman"/>
        </w:rPr>
        <w:t xml:space="preserve">dos nuevas regulaciones </w:t>
      </w:r>
      <w:r>
        <w:rPr>
          <w:rFonts w:ascii="Times New Roman" w:hAnsi="Times New Roman" w:cs="Times New Roman"/>
        </w:rPr>
        <w:t xml:space="preserve">emitidas por la Comisión Económica de las Naciones Unidas para Europa, </w:t>
      </w:r>
      <w:r w:rsidRPr="00CA3C62">
        <w:rPr>
          <w:rFonts w:ascii="Times New Roman" w:hAnsi="Times New Roman" w:cs="Times New Roman"/>
        </w:rPr>
        <w:t>que r</w:t>
      </w:r>
      <w:r>
        <w:rPr>
          <w:rFonts w:ascii="Times New Roman" w:hAnsi="Times New Roman" w:cs="Times New Roman"/>
        </w:rPr>
        <w:t>igen</w:t>
      </w:r>
      <w:r w:rsidRPr="00CA3C62">
        <w:rPr>
          <w:rFonts w:ascii="Times New Roman" w:hAnsi="Times New Roman" w:cs="Times New Roman"/>
        </w:rPr>
        <w:t xml:space="preserve"> los requisitos en materia de ciberseguridad</w:t>
      </w:r>
      <w:r>
        <w:rPr>
          <w:rFonts w:ascii="Times New Roman" w:hAnsi="Times New Roman" w:cs="Times New Roman"/>
        </w:rPr>
        <w:t xml:space="preserve"> que deben cumplir los fabricantes para poder obtener el certificado de conformidad de gestión de la ciberseguridad. </w:t>
      </w:r>
      <w:r w:rsidRPr="00CA3C62">
        <w:rPr>
          <w:rFonts w:ascii="Times New Roman" w:hAnsi="Times New Roman" w:cs="Times New Roman"/>
        </w:rPr>
        <w:t>Estas regulaciones son</w:t>
      </w:r>
      <w:r>
        <w:rPr>
          <w:rFonts w:ascii="Times New Roman" w:hAnsi="Times New Roman" w:cs="Times New Roman"/>
        </w:rPr>
        <w:t xml:space="preserve"> dos Reglamentos</w:t>
      </w:r>
      <w:r w:rsidRPr="00CA3C62">
        <w:rPr>
          <w:rFonts w:ascii="Times New Roman" w:hAnsi="Times New Roman" w:cs="Times New Roman"/>
        </w:rPr>
        <w:t>: </w:t>
      </w:r>
      <w:r>
        <w:rPr>
          <w:rFonts w:ascii="Times New Roman" w:hAnsi="Times New Roman" w:cs="Times New Roman"/>
        </w:rPr>
        <w:t>el</w:t>
      </w:r>
      <w:r w:rsidRPr="00CA3C62">
        <w:rPr>
          <w:rStyle w:val="Textoennegrita"/>
          <w:rFonts w:ascii="Times New Roman" w:hAnsi="Times New Roman" w:cs="Times New Roman"/>
        </w:rPr>
        <w:t xml:space="preserve"> </w:t>
      </w:r>
      <w:r w:rsidRPr="0041299B">
        <w:rPr>
          <w:rStyle w:val="Textoennegrita"/>
          <w:rFonts w:ascii="Times New Roman" w:hAnsi="Times New Roman" w:cs="Times New Roman"/>
          <w:b w:val="0"/>
          <w:bCs w:val="0"/>
        </w:rPr>
        <w:t>R155</w:t>
      </w:r>
      <w:r w:rsidRPr="0041299B">
        <w:rPr>
          <w:rStyle w:val="Refdenotaalpie"/>
          <w:rFonts w:ascii="Times New Roman" w:hAnsi="Times New Roman" w:cs="Times New Roman"/>
        </w:rPr>
        <w:footnoteReference w:id="25"/>
      </w:r>
      <w:r w:rsidRPr="0041299B">
        <w:rPr>
          <w:rStyle w:val="Textoennegrita"/>
          <w:rFonts w:ascii="Times New Roman" w:hAnsi="Times New Roman" w:cs="Times New Roman"/>
          <w:b w:val="0"/>
          <w:bCs w:val="0"/>
        </w:rPr>
        <w:t>, concerniente a los requisitos para la gestión de la ciberseguridad</w:t>
      </w:r>
      <w:r w:rsidRPr="0041299B">
        <w:rPr>
          <w:rStyle w:val="Textoennegrita"/>
          <w:rFonts w:ascii="Times New Roman" w:hAnsi="Times New Roman" w:cs="Times New Roman"/>
          <w:b w:val="0"/>
          <w:bCs w:val="0"/>
          <w:i/>
          <w:iCs/>
        </w:rPr>
        <w:t>,</w:t>
      </w:r>
      <w:r w:rsidRPr="0041299B">
        <w:rPr>
          <w:rStyle w:val="Textoennegrita"/>
          <w:rFonts w:ascii="Times New Roman" w:hAnsi="Times New Roman" w:cs="Times New Roman"/>
          <w:b w:val="0"/>
          <w:bCs w:val="0"/>
        </w:rPr>
        <w:t xml:space="preserve"> y el R156</w:t>
      </w:r>
      <w:r w:rsidR="008C6CE2">
        <w:rPr>
          <w:rStyle w:val="Refdenotaalpie"/>
          <w:rFonts w:ascii="Times New Roman" w:hAnsi="Times New Roman" w:cs="Times New Roman"/>
        </w:rPr>
        <w:footnoteReference w:id="26"/>
      </w:r>
      <w:r w:rsidRPr="0041299B">
        <w:rPr>
          <w:rStyle w:val="Textoennegrita"/>
          <w:rFonts w:ascii="Times New Roman" w:hAnsi="Times New Roman" w:cs="Times New Roman"/>
          <w:b w:val="0"/>
          <w:bCs w:val="0"/>
        </w:rPr>
        <w:t>, que estipula los requisitos para la gestión de actualizaciones de </w:t>
      </w:r>
      <w:r w:rsidRPr="0041299B">
        <w:rPr>
          <w:rStyle w:val="Textoennegrita"/>
          <w:rFonts w:ascii="Times New Roman" w:hAnsi="Times New Roman" w:cs="Times New Roman"/>
          <w:b w:val="0"/>
          <w:bCs w:val="0"/>
          <w:i/>
          <w:iCs/>
        </w:rPr>
        <w:t>software</w:t>
      </w:r>
      <w:r>
        <w:rPr>
          <w:rStyle w:val="Refdenotaalpie"/>
          <w:rFonts w:ascii="Times New Roman" w:hAnsi="Times New Roman" w:cs="Times New Roman"/>
        </w:rPr>
        <w:footnoteReference w:id="27"/>
      </w:r>
      <w:r w:rsidRPr="00CA3C62">
        <w:rPr>
          <w:rFonts w:ascii="Times New Roman" w:hAnsi="Times New Roman" w:cs="Times New Roman"/>
        </w:rPr>
        <w:t>.</w:t>
      </w:r>
      <w:r>
        <w:rPr>
          <w:rFonts w:ascii="Times New Roman" w:hAnsi="Times New Roman" w:cs="Times New Roman"/>
        </w:rPr>
        <w:t xml:space="preserve"> </w:t>
      </w:r>
    </w:p>
    <w:p w14:paraId="69A715B3" w14:textId="67D71D36" w:rsidR="003245D2" w:rsidRPr="003245D2" w:rsidRDefault="003245D2" w:rsidP="00DD41F9">
      <w:pPr>
        <w:autoSpaceDE w:val="0"/>
        <w:autoSpaceDN w:val="0"/>
        <w:adjustRightInd w:val="0"/>
        <w:spacing w:after="0" w:line="240" w:lineRule="auto"/>
        <w:jc w:val="both"/>
        <w:rPr>
          <w:rFonts w:ascii="Times New Roman" w:eastAsia="Times New Roman" w:hAnsi="Times New Roman" w:cs="Times New Roman"/>
          <w:lang w:eastAsia="es-ES"/>
        </w:rPr>
      </w:pPr>
      <w:r>
        <w:rPr>
          <w:rFonts w:ascii="Times New Roman" w:hAnsi="Times New Roman" w:cs="Times New Roman"/>
        </w:rPr>
        <w:t xml:space="preserve">        </w:t>
      </w:r>
      <w:r w:rsidRPr="00CA3C62">
        <w:rPr>
          <w:rFonts w:ascii="Times New Roman" w:hAnsi="Times New Roman" w:cs="Times New Roman"/>
        </w:rPr>
        <w:t>En España, estos requisitos s</w:t>
      </w:r>
      <w:r>
        <w:rPr>
          <w:rFonts w:ascii="Times New Roman" w:hAnsi="Times New Roman" w:cs="Times New Roman"/>
        </w:rPr>
        <w:t>on</w:t>
      </w:r>
      <w:r w:rsidRPr="00CA3C62">
        <w:rPr>
          <w:rFonts w:ascii="Times New Roman" w:hAnsi="Times New Roman" w:cs="Times New Roman"/>
        </w:rPr>
        <w:t xml:space="preserve"> de obliga</w:t>
      </w:r>
      <w:r>
        <w:rPr>
          <w:rFonts w:ascii="Times New Roman" w:hAnsi="Times New Roman" w:cs="Times New Roman"/>
        </w:rPr>
        <w:t>d</w:t>
      </w:r>
      <w:r w:rsidRPr="00CA3C62">
        <w:rPr>
          <w:rFonts w:ascii="Times New Roman" w:hAnsi="Times New Roman" w:cs="Times New Roman"/>
        </w:rPr>
        <w:t>o cumplimiento para todos los vehículos a partir del </w:t>
      </w:r>
      <w:r w:rsidRPr="003245D2">
        <w:rPr>
          <w:rStyle w:val="Textoennegrita"/>
          <w:rFonts w:ascii="Times New Roman" w:hAnsi="Times New Roman" w:cs="Times New Roman"/>
          <w:b w:val="0"/>
          <w:bCs w:val="0"/>
        </w:rPr>
        <w:t>1 de julio de 2024</w:t>
      </w:r>
      <w:r w:rsidRPr="003245D2">
        <w:rPr>
          <w:rFonts w:ascii="Times New Roman" w:hAnsi="Times New Roman" w:cs="Times New Roman"/>
        </w:rPr>
        <w:t>. E</w:t>
      </w:r>
      <w:r w:rsidRPr="003245D2">
        <w:rPr>
          <w:rStyle w:val="Textoennegrita"/>
          <w:rFonts w:ascii="Times New Roman" w:eastAsiaTheme="majorEastAsia" w:hAnsi="Times New Roman" w:cs="Times New Roman"/>
          <w:b w:val="0"/>
          <w:bCs w:val="0"/>
        </w:rPr>
        <w:t>l Instituto Nacional de Ciberseguridad ha adoptado estas normativas y ha comenzado a ofrecer directrices y recursos para ayudar a las empresas del sector automotriz a cumplir con estos nuevos requisitos</w:t>
      </w:r>
      <w:r w:rsidRPr="00E05FCD">
        <w:rPr>
          <w:rStyle w:val="Refdenotaalpie"/>
          <w:rFonts w:ascii="Times New Roman" w:hAnsi="Times New Roman" w:cs="Times New Roman"/>
        </w:rPr>
        <w:footnoteReference w:id="28"/>
      </w:r>
      <w:r>
        <w:rPr>
          <w:rStyle w:val="Textoennegrita"/>
          <w:rFonts w:ascii="Times New Roman" w:eastAsiaTheme="majorEastAsia" w:hAnsi="Times New Roman" w:cs="Times New Roman"/>
          <w:b w:val="0"/>
          <w:bCs w:val="0"/>
        </w:rPr>
        <w:t>.</w:t>
      </w:r>
    </w:p>
    <w:p w14:paraId="77CDA59C" w14:textId="77777777" w:rsidR="00993D53" w:rsidRPr="003245D2" w:rsidRDefault="00993D53" w:rsidP="00993D53">
      <w:pPr>
        <w:jc w:val="both"/>
        <w:rPr>
          <w:rFonts w:ascii="Times New Roman" w:eastAsia="Times New Roman" w:hAnsi="Times New Roman" w:cs="Times New Roman"/>
        </w:rPr>
      </w:pPr>
    </w:p>
    <w:sectPr w:rsidR="00993D53" w:rsidRPr="003245D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5674" w14:textId="77777777" w:rsidR="00512376" w:rsidRDefault="00512376" w:rsidP="00993D53">
      <w:pPr>
        <w:spacing w:after="0" w:line="240" w:lineRule="auto"/>
      </w:pPr>
      <w:r>
        <w:separator/>
      </w:r>
    </w:p>
  </w:endnote>
  <w:endnote w:type="continuationSeparator" w:id="0">
    <w:p w14:paraId="2D391720" w14:textId="77777777" w:rsidR="00512376" w:rsidRDefault="00512376" w:rsidP="0099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E86E2" w14:textId="77777777" w:rsidR="00512376" w:rsidRDefault="00512376" w:rsidP="00993D53">
      <w:pPr>
        <w:spacing w:after="0" w:line="240" w:lineRule="auto"/>
      </w:pPr>
      <w:r>
        <w:separator/>
      </w:r>
    </w:p>
  </w:footnote>
  <w:footnote w:type="continuationSeparator" w:id="0">
    <w:p w14:paraId="7E8425DA" w14:textId="77777777" w:rsidR="00512376" w:rsidRDefault="00512376" w:rsidP="00993D53">
      <w:pPr>
        <w:spacing w:after="0" w:line="240" w:lineRule="auto"/>
      </w:pPr>
      <w:r>
        <w:continuationSeparator/>
      </w:r>
    </w:p>
  </w:footnote>
  <w:footnote w:id="1">
    <w:p w14:paraId="6FFEC8E5" w14:textId="5A9BA8DC" w:rsidR="002A7ADC" w:rsidRPr="002A7ADC" w:rsidRDefault="002A7ADC" w:rsidP="002A7ADC">
      <w:pPr>
        <w:shd w:val="clear" w:color="auto" w:fill="F8F8F8"/>
        <w:spacing w:after="0" w:line="240" w:lineRule="auto"/>
        <w:jc w:val="both"/>
        <w:textAlignment w:val="center"/>
        <w:rPr>
          <w:sz w:val="20"/>
          <w:szCs w:val="20"/>
        </w:rPr>
      </w:pPr>
      <w:r w:rsidRPr="002A7ADC">
        <w:rPr>
          <w:rStyle w:val="Refdenotaalpie"/>
          <w:sz w:val="20"/>
          <w:szCs w:val="20"/>
        </w:rPr>
        <w:footnoteRef/>
      </w:r>
      <w:r w:rsidRPr="002A7ADC">
        <w:rPr>
          <w:sz w:val="20"/>
          <w:szCs w:val="20"/>
        </w:rPr>
        <w:t xml:space="preserve"> </w:t>
      </w:r>
      <w:r w:rsidRPr="002A7ADC">
        <w:rPr>
          <w:rFonts w:cs="Times New Roman"/>
          <w:sz w:val="20"/>
          <w:szCs w:val="20"/>
        </w:rPr>
        <w:t xml:space="preserve">Este trabajo se ha realizado en el marco del Proyecto </w:t>
      </w:r>
      <w:r w:rsidRPr="002A7ADC">
        <w:rPr>
          <w:rFonts w:cs="Times New Roman"/>
          <w:sz w:val="20"/>
          <w:szCs w:val="20"/>
          <w:shd w:val="clear" w:color="auto" w:fill="FFFFFF"/>
        </w:rPr>
        <w:t>de Generación de Conocimiento 2021. Modalidad: Investigación No Orientada Tipo B. PID2021-123070NB-I00, financiado por el Ministerio de Ciencia e Innovación, que lleva por título: </w:t>
      </w:r>
      <w:r w:rsidRPr="002A7ADC">
        <w:rPr>
          <w:rFonts w:cs="Times New Roman"/>
          <w:i/>
          <w:iCs/>
          <w:sz w:val="20"/>
          <w:szCs w:val="20"/>
          <w:shd w:val="clear" w:color="auto" w:fill="FFFFFF"/>
        </w:rPr>
        <w:t>Conducción autónoma y seguridad jurídica del transporte</w:t>
      </w:r>
      <w:r w:rsidRPr="002A7ADC">
        <w:rPr>
          <w:rFonts w:cs="Times New Roman"/>
          <w:sz w:val="20"/>
          <w:szCs w:val="20"/>
          <w:shd w:val="clear" w:color="auto" w:fill="FFFFFF"/>
        </w:rPr>
        <w:t>. IP. Eliseo Sierra Noguero.</w:t>
      </w:r>
      <w:r w:rsidRPr="002A7ADC">
        <w:rPr>
          <w:rFonts w:cs="Times New Roman"/>
          <w:sz w:val="20"/>
          <w:szCs w:val="20"/>
          <w:shd w:val="clear" w:color="auto" w:fill="FFFFFF"/>
        </w:rPr>
        <w:t xml:space="preserve"> </w:t>
      </w:r>
    </w:p>
  </w:footnote>
  <w:footnote w:id="2">
    <w:p w14:paraId="2D443FDE" w14:textId="77777777" w:rsidR="00054568" w:rsidRPr="00280F08" w:rsidRDefault="00054568" w:rsidP="00054568">
      <w:pPr>
        <w:pStyle w:val="Textonotapie"/>
        <w:jc w:val="both"/>
      </w:pPr>
      <w:r>
        <w:rPr>
          <w:rStyle w:val="Refdenotaalpie"/>
        </w:rPr>
        <w:footnoteRef/>
      </w:r>
      <w:r>
        <w:t xml:space="preserve"> Intercambio de información en tiempo real entre vehículos que se encuentren próximos. Generalmente, se transmite y recibe información relativa a la velocidad del vehículo, su rumbo o intención. Cada vehículo constituye un nodo de la red que puede recibir información y retransmitirla; GONZÁLEZ PRIETO, Alexander, </w:t>
      </w:r>
      <w:r>
        <w:rPr>
          <w:i/>
          <w:iCs/>
        </w:rPr>
        <w:t>Ciberseguridad en vehículos conectados y autónomos: estudio de las comunicaciones V2X</w:t>
      </w:r>
      <w:r>
        <w:t xml:space="preserve">. Dir. por Jordi Serra Ruiz. Máster Universitario en Ciberseguridad y Privacidad, </w:t>
      </w:r>
      <w:proofErr w:type="spellStart"/>
      <w:r>
        <w:t>Universitat</w:t>
      </w:r>
      <w:proofErr w:type="spellEnd"/>
      <w:r>
        <w:t xml:space="preserve"> Oberta de Catalunya, 2022, p.19.</w:t>
      </w:r>
    </w:p>
  </w:footnote>
  <w:footnote w:id="3">
    <w:p w14:paraId="2E52E16B" w14:textId="77777777" w:rsidR="00054568" w:rsidRDefault="00054568" w:rsidP="00054568">
      <w:pPr>
        <w:pStyle w:val="Textonotapie"/>
        <w:jc w:val="both"/>
      </w:pPr>
      <w:r>
        <w:rPr>
          <w:rStyle w:val="Refdenotaalpie"/>
        </w:rPr>
        <w:footnoteRef/>
      </w:r>
      <w:r>
        <w:t xml:space="preserve"> Intercambio de información entre el vehículo y la infraestructura de la vía. Los vehículos pueden recibir información de sensores instalados en la vía sobre el estado de los semáforos, accidentes, aparcamientos, etc. A su vez, el vehículo también envía información propia o reenvía la recibida de otros vehículos a la infraestructura, con el objetivo de mejorar la circulación y disminuir el número de accidentes; </w:t>
      </w:r>
      <w:bookmarkStart w:id="0" w:name="_Hlk184647759"/>
      <w:r>
        <w:t xml:space="preserve">GONZÁLEZ PRIETO, Alexander, </w:t>
      </w:r>
      <w:proofErr w:type="spellStart"/>
      <w:r>
        <w:t>op.cit</w:t>
      </w:r>
      <w:proofErr w:type="spellEnd"/>
      <w:r>
        <w:t>. p.20.</w:t>
      </w:r>
    </w:p>
    <w:bookmarkEnd w:id="0"/>
  </w:footnote>
  <w:footnote w:id="4">
    <w:p w14:paraId="3C9EA16F" w14:textId="77777777" w:rsidR="00054568" w:rsidRDefault="00054568" w:rsidP="00054568">
      <w:pPr>
        <w:pStyle w:val="Textonotapie"/>
        <w:jc w:val="both"/>
      </w:pPr>
      <w:r>
        <w:rPr>
          <w:rStyle w:val="Refdenotaalpie"/>
        </w:rPr>
        <w:footnoteRef/>
      </w:r>
      <w:r>
        <w:t xml:space="preserve"> Los peatones también estarán preparados para comunicarse con el ecosistema, por ejemplo, por medio de aplicaciones móviles de la presencia de bicicletas, sillas de ruedas o niños en las proximidades; GONZÁLEZ PRIETO, Alexander, </w:t>
      </w:r>
      <w:proofErr w:type="spellStart"/>
      <w:r>
        <w:t>op.cit</w:t>
      </w:r>
      <w:proofErr w:type="spellEnd"/>
      <w:r>
        <w:t xml:space="preserve">. p.20. </w:t>
      </w:r>
    </w:p>
  </w:footnote>
  <w:footnote w:id="5">
    <w:p w14:paraId="2CA3F7D1" w14:textId="77777777" w:rsidR="00054568" w:rsidRDefault="00054568" w:rsidP="00054568">
      <w:pPr>
        <w:pStyle w:val="Textonotapie"/>
        <w:jc w:val="both"/>
      </w:pPr>
      <w:r>
        <w:rPr>
          <w:rStyle w:val="Refdenotaalpie"/>
        </w:rPr>
        <w:footnoteRef/>
      </w:r>
      <w:r>
        <w:t xml:space="preserve"> El tipo de información recibida puede ser de varios tipos, desde información meteorológica, hasta información sobre el estado del tráfico, rutas alternativas, </w:t>
      </w:r>
      <w:proofErr w:type="spellStart"/>
      <w:r>
        <w:t>etc</w:t>
      </w:r>
      <w:proofErr w:type="spellEnd"/>
      <w:r>
        <w:t xml:space="preserve">; GONZÁLEZ PRIETO, Alexander, </w:t>
      </w:r>
      <w:proofErr w:type="spellStart"/>
      <w:r>
        <w:t>op.cit</w:t>
      </w:r>
      <w:proofErr w:type="spellEnd"/>
      <w:r>
        <w:t>. p.20.</w:t>
      </w:r>
    </w:p>
  </w:footnote>
  <w:footnote w:id="6">
    <w:p w14:paraId="403B42AE" w14:textId="77777777" w:rsidR="00054568" w:rsidRDefault="00054568" w:rsidP="00054568">
      <w:pPr>
        <w:pStyle w:val="Textonotapie"/>
        <w:jc w:val="both"/>
      </w:pPr>
      <w:r>
        <w:rPr>
          <w:rStyle w:val="Refdenotaalpie"/>
        </w:rPr>
        <w:footnoteRef/>
      </w:r>
      <w:r>
        <w:t xml:space="preserve"> “La ciberseguridad en vehículos autónomos: retos y soluciones para un futuro seguro”, Nota de prensa 2024, Disponible en </w:t>
      </w:r>
      <w:hyperlink r:id="rId1" w:history="1">
        <w:r w:rsidRPr="00D855B2">
          <w:rPr>
            <w:rStyle w:val="Hipervnculo"/>
          </w:rPr>
          <w:t>https://www.hackrisk.cl/la-ciberseguridad-en-vehiculos-autonomos-retos-y-soluciones-para-un-futuro-seguro/</w:t>
        </w:r>
      </w:hyperlink>
      <w:r>
        <w:t xml:space="preserve"> </w:t>
      </w:r>
    </w:p>
  </w:footnote>
  <w:footnote w:id="7">
    <w:p w14:paraId="01335D34" w14:textId="77777777" w:rsidR="00D66423" w:rsidRDefault="00D66423" w:rsidP="00D66423">
      <w:pPr>
        <w:pStyle w:val="Textonotapie"/>
        <w:jc w:val="both"/>
      </w:pPr>
      <w:r>
        <w:rPr>
          <w:rStyle w:val="Refdenotaalpie"/>
        </w:rPr>
        <w:footnoteRef/>
      </w:r>
      <w:r>
        <w:t xml:space="preserve"> ITC Web </w:t>
      </w:r>
      <w:proofErr w:type="spellStart"/>
      <w:r>
        <w:t>Solutions</w:t>
      </w:r>
      <w:proofErr w:type="spellEnd"/>
      <w:r>
        <w:t xml:space="preserve">, “La ciberseguridad en vehículos autónomos: riesgos y soluciones”, Nota de prensa, 2024, Disponible en </w:t>
      </w:r>
      <w:hyperlink r:id="rId2" w:anchor=":~:text=La%20ciberseguridad%20en%20veh%C3%ADculos%20aut%C3%B3nomos%3A%20riesgos%20y%20soluciones,...%203%20Proyecciones%20Futuras%20y%20Desarrollo%20Continuo%20" w:history="1">
        <w:r w:rsidRPr="00D855B2">
          <w:rPr>
            <w:rStyle w:val="Hipervnculo"/>
          </w:rPr>
          <w:t>https://itcwebsolutions.com/tecnologia-y-tendencias/drones-y-vehiculos-autonomos/regulacion-y-seguridad/la-ciberseguridad-en-vehiculos-autonomos-riesgos-y-soluciones/#:~:text=La%20ciberseguridad%20en%20veh%C3%ADculos%20aut%C3%B3nomos%3A%20riesgos%20y%20soluciones,...%203%20Proyecciones%20Futuras%20y%20Desarrollo%20Continuo%20</w:t>
        </w:r>
      </w:hyperlink>
      <w:r>
        <w:t xml:space="preserve"> </w:t>
      </w:r>
    </w:p>
  </w:footnote>
  <w:footnote w:id="8">
    <w:p w14:paraId="512918D7" w14:textId="77777777" w:rsidR="00A61282" w:rsidRDefault="00A61282" w:rsidP="00A61282">
      <w:pPr>
        <w:pStyle w:val="Textonotapie"/>
        <w:jc w:val="both"/>
      </w:pPr>
      <w:r>
        <w:rPr>
          <w:rStyle w:val="Refdenotaalpie"/>
        </w:rPr>
        <w:footnoteRef/>
      </w:r>
      <w:r>
        <w:t xml:space="preserve"> CIBERSEGURIDAD, “Ciberseguridad en vehículos conectados y autónomos”, Nota de prensa, 2024, Disponible en </w:t>
      </w:r>
      <w:hyperlink r:id="rId3" w:history="1">
        <w:r w:rsidRPr="00D855B2">
          <w:rPr>
            <w:rStyle w:val="Hipervnculo"/>
          </w:rPr>
          <w:t>https://ciberseguridad.com/guias/industrial/vehiculos-conectados-autonomos/</w:t>
        </w:r>
      </w:hyperlink>
    </w:p>
  </w:footnote>
  <w:footnote w:id="9">
    <w:p w14:paraId="14A4F801" w14:textId="77777777" w:rsidR="00F42C84" w:rsidRPr="00F8277F" w:rsidRDefault="00F42C84" w:rsidP="00F42C84">
      <w:pPr>
        <w:pStyle w:val="Textonotapie"/>
        <w:jc w:val="both"/>
      </w:pPr>
      <w:r>
        <w:rPr>
          <w:rStyle w:val="Refdenotaalpie"/>
        </w:rPr>
        <w:footnoteRef/>
      </w:r>
      <w:r>
        <w:t xml:space="preserve"> UNE (Normalización Española), </w:t>
      </w:r>
      <w:r>
        <w:rPr>
          <w:i/>
          <w:iCs/>
        </w:rPr>
        <w:t xml:space="preserve">Normalización en Ciberseguridad para la Movilidad Conectada y Automatizada de vehículos y su entorno, </w:t>
      </w:r>
      <w:r>
        <w:t xml:space="preserve">2021, p.5, Disponible en </w:t>
      </w:r>
      <w:hyperlink r:id="rId4" w:history="1">
        <w:r w:rsidRPr="00DB6D9A">
          <w:rPr>
            <w:rStyle w:val="Hipervnculo"/>
          </w:rPr>
          <w:t>https://revista.une.org/37/normalizacion-en-ciberseguridad-para-la-movilidad-inteligent.html</w:t>
        </w:r>
      </w:hyperlink>
      <w:r>
        <w:t xml:space="preserve"> </w:t>
      </w:r>
    </w:p>
  </w:footnote>
  <w:footnote w:id="10">
    <w:p w14:paraId="57E5779D" w14:textId="77777777" w:rsidR="00B44FC3" w:rsidRDefault="00B44FC3" w:rsidP="00B44FC3">
      <w:pPr>
        <w:pStyle w:val="Textonotapie"/>
        <w:jc w:val="both"/>
      </w:pPr>
      <w:r>
        <w:rPr>
          <w:rStyle w:val="Refdenotaalpie"/>
        </w:rPr>
        <w:footnoteRef/>
      </w:r>
      <w:r>
        <w:t xml:space="preserve">HISTORIA DE LA TECNOLOGÍA, “La ciberseguridad en los vehículos autónomos: desafíos y soluciones”, Nota de prensa 2024, Disponible en </w:t>
      </w:r>
      <w:hyperlink r:id="rId5" w:history="1">
        <w:r w:rsidRPr="00D855B2">
          <w:rPr>
            <w:rStyle w:val="Hipervnculo"/>
          </w:rPr>
          <w:t>https://techevolucion.net/transporte-y-movilidad/ciberseguridad-vehiculos-autonomos-desafios-soluciones/</w:t>
        </w:r>
      </w:hyperlink>
      <w:r>
        <w:t xml:space="preserve"> </w:t>
      </w:r>
    </w:p>
  </w:footnote>
  <w:footnote w:id="11">
    <w:p w14:paraId="79A8691A" w14:textId="77777777" w:rsidR="00F42C84" w:rsidRPr="00F57F5D" w:rsidRDefault="00F42C84" w:rsidP="00F42C84">
      <w:pPr>
        <w:pStyle w:val="Textonotapie"/>
        <w:jc w:val="both"/>
      </w:pPr>
      <w:r>
        <w:rPr>
          <w:rStyle w:val="Refdenotaalpie"/>
        </w:rPr>
        <w:footnoteRef/>
      </w:r>
      <w:r>
        <w:t xml:space="preserve"> UNE (Normalización Española), </w:t>
      </w:r>
      <w:r>
        <w:rPr>
          <w:i/>
          <w:iCs/>
        </w:rPr>
        <w:t>Normalización en Ciberseguridad para la Movilidad Conectada y Automatizada de vehículos y su entorno</w:t>
      </w:r>
      <w:r>
        <w:t xml:space="preserve">, </w:t>
      </w:r>
      <w:proofErr w:type="spellStart"/>
      <w:r>
        <w:t>op.cit</w:t>
      </w:r>
      <w:proofErr w:type="spellEnd"/>
      <w:r>
        <w:t>, p.5</w:t>
      </w:r>
    </w:p>
  </w:footnote>
  <w:footnote w:id="12">
    <w:p w14:paraId="192A9B81" w14:textId="77777777" w:rsidR="00B44FC3" w:rsidRDefault="00B44FC3" w:rsidP="00B44FC3">
      <w:pPr>
        <w:pStyle w:val="Textonotapie"/>
        <w:jc w:val="both"/>
      </w:pPr>
      <w:r>
        <w:rPr>
          <w:rStyle w:val="Refdenotaalpie"/>
        </w:rPr>
        <w:footnoteRef/>
      </w:r>
      <w:r>
        <w:t xml:space="preserve"> Poniendo en peligro la vida de los ocupantes del vehículo o de terceros.</w:t>
      </w:r>
    </w:p>
  </w:footnote>
  <w:footnote w:id="13">
    <w:p w14:paraId="67746903" w14:textId="1BC3117B" w:rsidR="00CC51C2" w:rsidRPr="00CC51C2" w:rsidRDefault="00B44FC3" w:rsidP="00B44FC3">
      <w:pPr>
        <w:pStyle w:val="Textonotapie"/>
        <w:jc w:val="both"/>
      </w:pPr>
      <w:r>
        <w:rPr>
          <w:rStyle w:val="Refdenotaalpie"/>
        </w:rPr>
        <w:footnoteRef/>
      </w:r>
      <w:r>
        <w:t xml:space="preserve"> Provocando una vulneración de la intimidad del propietario o usuario del vehículo.</w:t>
      </w:r>
    </w:p>
  </w:footnote>
  <w:footnote w:id="14">
    <w:p w14:paraId="4467382B" w14:textId="77777777" w:rsidR="00F10237" w:rsidRDefault="00F10237" w:rsidP="00F10237">
      <w:pPr>
        <w:pStyle w:val="Textonotapie"/>
        <w:jc w:val="both"/>
      </w:pPr>
      <w:r>
        <w:rPr>
          <w:rStyle w:val="Refdenotaalpie"/>
        </w:rPr>
        <w:footnoteRef/>
      </w:r>
      <w:r>
        <w:t xml:space="preserve"> Adoptadas por el Comité Europeo de Protección de Datos el 9 de marzo de 2021.</w:t>
      </w:r>
    </w:p>
  </w:footnote>
  <w:footnote w:id="15">
    <w:p w14:paraId="46E29EE4" w14:textId="3BA4D90F" w:rsidR="00F10237" w:rsidRDefault="00F10237" w:rsidP="00F10237">
      <w:pPr>
        <w:pStyle w:val="Textonotapie"/>
        <w:jc w:val="both"/>
      </w:pPr>
      <w:r>
        <w:rPr>
          <w:rStyle w:val="Refdenotaalpie"/>
        </w:rPr>
        <w:footnoteRef/>
      </w:r>
      <w:r>
        <w:t xml:space="preserve"> </w:t>
      </w:r>
      <w:r w:rsidR="007A3B86">
        <w:t>P</w:t>
      </w:r>
      <w:r>
        <w:t>áginas 5 a 9 de las Directrices.</w:t>
      </w:r>
    </w:p>
  </w:footnote>
  <w:footnote w:id="16">
    <w:p w14:paraId="4708327A" w14:textId="77777777" w:rsidR="00AB6E4C" w:rsidRDefault="00AB6E4C" w:rsidP="00AB6E4C">
      <w:pPr>
        <w:pStyle w:val="Textonotapie"/>
        <w:jc w:val="both"/>
      </w:pPr>
      <w:r>
        <w:rPr>
          <w:rStyle w:val="Refdenotaalpie"/>
        </w:rPr>
        <w:footnoteRef/>
      </w:r>
      <w:r>
        <w:t xml:space="preserve"> En DOUE de 27-12-2022.</w:t>
      </w:r>
    </w:p>
  </w:footnote>
  <w:footnote w:id="17">
    <w:p w14:paraId="20854618" w14:textId="77777777" w:rsidR="00AB6E4C" w:rsidRDefault="00AB6E4C" w:rsidP="00AB6E4C">
      <w:pPr>
        <w:pStyle w:val="Textonotapie"/>
        <w:jc w:val="both"/>
      </w:pPr>
      <w:r>
        <w:rPr>
          <w:rStyle w:val="Refdenotaalpie"/>
        </w:rPr>
        <w:footnoteRef/>
      </w:r>
      <w:r>
        <w:t xml:space="preserve"> Véanse los considerandos 33 y 34 de la Directiva.</w:t>
      </w:r>
    </w:p>
  </w:footnote>
  <w:footnote w:id="18">
    <w:p w14:paraId="33DEBD0B" w14:textId="77777777" w:rsidR="00AB6E4C" w:rsidRDefault="00AB6E4C" w:rsidP="00AB6E4C">
      <w:pPr>
        <w:pStyle w:val="Textonotapie"/>
        <w:jc w:val="both"/>
      </w:pPr>
      <w:r>
        <w:rPr>
          <w:rStyle w:val="Refdenotaalpie"/>
        </w:rPr>
        <w:footnoteRef/>
      </w:r>
      <w:r>
        <w:t xml:space="preserve"> Véase su anexo I.</w:t>
      </w:r>
    </w:p>
  </w:footnote>
  <w:footnote w:id="19">
    <w:p w14:paraId="616D72A9" w14:textId="77777777" w:rsidR="00FC331F" w:rsidRDefault="00FC331F" w:rsidP="00FC331F">
      <w:pPr>
        <w:pStyle w:val="Textonotapie"/>
        <w:jc w:val="both"/>
      </w:pPr>
      <w:r>
        <w:rPr>
          <w:rStyle w:val="Refdenotaalpie"/>
        </w:rPr>
        <w:footnoteRef/>
      </w:r>
      <w:r>
        <w:t xml:space="preserve"> DOUE, núm. 2853, de 18 de noviembre de 2024.</w:t>
      </w:r>
    </w:p>
  </w:footnote>
  <w:footnote w:id="20">
    <w:p w14:paraId="3ED4B0EF" w14:textId="77777777" w:rsidR="00FC331F" w:rsidRDefault="00FC331F" w:rsidP="00FC331F">
      <w:pPr>
        <w:pStyle w:val="Textonotapie"/>
        <w:jc w:val="both"/>
      </w:pPr>
      <w:r>
        <w:rPr>
          <w:rStyle w:val="Refdenotaalpie"/>
        </w:rPr>
        <w:footnoteRef/>
      </w:r>
      <w:r>
        <w:t xml:space="preserve"> Véase el considerando 20 de la Directiva.</w:t>
      </w:r>
    </w:p>
  </w:footnote>
  <w:footnote w:id="21">
    <w:p w14:paraId="0B645E28" w14:textId="77777777" w:rsidR="00F10237" w:rsidRDefault="00F10237" w:rsidP="00F10237">
      <w:pPr>
        <w:pStyle w:val="Textonotapie"/>
        <w:contextualSpacing/>
        <w:jc w:val="both"/>
      </w:pPr>
      <w:r>
        <w:rPr>
          <w:rStyle w:val="Refdenotaalpie"/>
        </w:rPr>
        <w:footnoteRef/>
      </w:r>
      <w:r>
        <w:t xml:space="preserve"> En DOUE núm. 2847, de 20 de noviembre de 2024.</w:t>
      </w:r>
    </w:p>
  </w:footnote>
  <w:footnote w:id="22">
    <w:p w14:paraId="6A144D1A" w14:textId="77777777" w:rsidR="00F10237" w:rsidRDefault="00F10237" w:rsidP="00F10237">
      <w:pPr>
        <w:pStyle w:val="Textonotapie"/>
        <w:jc w:val="both"/>
      </w:pPr>
      <w:r>
        <w:rPr>
          <w:rStyle w:val="Refdenotaalpie"/>
        </w:rPr>
        <w:footnoteRef/>
      </w:r>
      <w:r>
        <w:t xml:space="preserve"> Contenidas en el Anexo II del Reglamento.</w:t>
      </w:r>
    </w:p>
  </w:footnote>
  <w:footnote w:id="23">
    <w:p w14:paraId="770A9D69" w14:textId="77777777" w:rsidR="002D639F" w:rsidRPr="00515CF0" w:rsidRDefault="002D639F" w:rsidP="002D639F">
      <w:pPr>
        <w:pStyle w:val="Textonotapie"/>
        <w:contextualSpacing/>
        <w:jc w:val="both"/>
        <w:rPr>
          <w:rFonts w:cs="Times New Roman"/>
        </w:rPr>
      </w:pPr>
      <w:r>
        <w:rPr>
          <w:rStyle w:val="Refdenotaalpie"/>
        </w:rPr>
        <w:footnoteRef/>
      </w:r>
      <w:r>
        <w:t xml:space="preserve"> En su art. 3 apart.40, define la “</w:t>
      </w:r>
      <w:r w:rsidRPr="00515CF0">
        <w:rPr>
          <w:rFonts w:cs="Times New Roman"/>
          <w:color w:val="000000"/>
          <w:shd w:val="clear" w:color="auto" w:fill="FFFFFF"/>
        </w:rPr>
        <w:t>vulnerabilidad</w:t>
      </w:r>
      <w:r>
        <w:rPr>
          <w:rFonts w:cs="Times New Roman"/>
          <w:color w:val="000000"/>
          <w:shd w:val="clear" w:color="auto" w:fill="FFFFFF"/>
        </w:rPr>
        <w:t>”, como la</w:t>
      </w:r>
      <w:r w:rsidRPr="00515CF0">
        <w:rPr>
          <w:rFonts w:cs="Times New Roman"/>
          <w:color w:val="000000"/>
          <w:shd w:val="clear" w:color="auto" w:fill="FFFFFF"/>
        </w:rPr>
        <w:t xml:space="preserve"> deficiencia, susceptibilidad o fallo de un producto con elementos digitales que puede ser aprovechada por una ciber amenaza</w:t>
      </w:r>
      <w:r>
        <w:rPr>
          <w:rFonts w:cs="Times New Roman"/>
          <w:color w:val="000000"/>
          <w:shd w:val="clear" w:color="auto" w:fill="FFFFFF"/>
        </w:rPr>
        <w:t xml:space="preserve">. </w:t>
      </w:r>
      <w:r w:rsidRPr="00515CF0">
        <w:rPr>
          <w:rFonts w:cs="Times New Roman"/>
          <w:color w:val="000000"/>
          <w:shd w:val="clear" w:color="auto" w:fill="FFFFFF"/>
        </w:rPr>
        <w:t xml:space="preserve">Es decir, una </w:t>
      </w:r>
      <w:r w:rsidRPr="00515CF0">
        <w:rPr>
          <w:color w:val="000000"/>
          <w:shd w:val="clear" w:color="auto" w:fill="FFFFFF"/>
        </w:rPr>
        <w:t>vulnerabilidad que puede ser utilizada de manera efectiva por un agente malintencionado en condiciones operativas prácticas</w:t>
      </w:r>
      <w:r>
        <w:rPr>
          <w:color w:val="000000"/>
          <w:shd w:val="clear" w:color="auto" w:fill="FFFFFF"/>
        </w:rPr>
        <w:t xml:space="preserve"> (apart.41).</w:t>
      </w:r>
    </w:p>
  </w:footnote>
  <w:footnote w:id="24">
    <w:p w14:paraId="6384C02B" w14:textId="77777777" w:rsidR="003245D2" w:rsidRDefault="003245D2" w:rsidP="003245D2">
      <w:pPr>
        <w:pStyle w:val="Textonotapie"/>
        <w:jc w:val="both"/>
      </w:pPr>
      <w:r>
        <w:rPr>
          <w:rStyle w:val="Refdenotaalpie"/>
        </w:rPr>
        <w:footnoteRef/>
      </w:r>
      <w:r>
        <w:t xml:space="preserve"> Contenidas en el Anexo II del Reglamento.</w:t>
      </w:r>
    </w:p>
  </w:footnote>
  <w:footnote w:id="25">
    <w:p w14:paraId="590ABA4C" w14:textId="2EDEC9C5" w:rsidR="0041299B" w:rsidRPr="00006EBC" w:rsidRDefault="0041299B" w:rsidP="0041299B">
      <w:pPr>
        <w:pStyle w:val="Default"/>
        <w:jc w:val="both"/>
        <w:rPr>
          <w:rFonts w:asciiTheme="minorHAnsi" w:hAnsiTheme="minorHAnsi"/>
          <w:sz w:val="20"/>
          <w:szCs w:val="20"/>
        </w:rPr>
      </w:pPr>
      <w:r w:rsidRPr="009551F2">
        <w:rPr>
          <w:rStyle w:val="Refdenotaalpie"/>
          <w:rFonts w:asciiTheme="minorHAnsi" w:hAnsiTheme="minorHAnsi"/>
          <w:sz w:val="20"/>
          <w:szCs w:val="20"/>
        </w:rPr>
        <w:footnoteRef/>
      </w:r>
      <w:r w:rsidRPr="009551F2">
        <w:rPr>
          <w:rFonts w:asciiTheme="minorHAnsi" w:hAnsiTheme="minorHAnsi"/>
          <w:sz w:val="20"/>
          <w:szCs w:val="20"/>
        </w:rPr>
        <w:t xml:space="preserve"> </w:t>
      </w:r>
      <w:r w:rsidRPr="009551F2">
        <w:rPr>
          <w:rFonts w:asciiTheme="minorHAnsi" w:hAnsiTheme="minorHAnsi"/>
          <w:i/>
          <w:iCs/>
          <w:sz w:val="20"/>
          <w:szCs w:val="20"/>
        </w:rPr>
        <w:t xml:space="preserve">Reglamento </w:t>
      </w:r>
      <w:proofErr w:type="spellStart"/>
      <w:r w:rsidRPr="009551F2">
        <w:rPr>
          <w:rFonts w:asciiTheme="minorHAnsi" w:hAnsiTheme="minorHAnsi"/>
          <w:i/>
          <w:iCs/>
          <w:sz w:val="20"/>
          <w:szCs w:val="20"/>
        </w:rPr>
        <w:t>Nº</w:t>
      </w:r>
      <w:proofErr w:type="spellEnd"/>
      <w:r w:rsidRPr="009551F2">
        <w:rPr>
          <w:rFonts w:asciiTheme="minorHAnsi" w:hAnsiTheme="minorHAnsi"/>
          <w:i/>
          <w:iCs/>
          <w:sz w:val="20"/>
          <w:szCs w:val="20"/>
        </w:rPr>
        <w:t xml:space="preserve">. 155 de </w:t>
      </w:r>
      <w:r w:rsidR="008C6CE2">
        <w:rPr>
          <w:rFonts w:asciiTheme="minorHAnsi" w:hAnsiTheme="minorHAnsi"/>
          <w:i/>
          <w:iCs/>
          <w:sz w:val="20"/>
          <w:szCs w:val="20"/>
        </w:rPr>
        <w:t>l</w:t>
      </w:r>
      <w:r w:rsidRPr="009551F2">
        <w:rPr>
          <w:rFonts w:asciiTheme="minorHAnsi" w:hAnsiTheme="minorHAnsi"/>
          <w:i/>
          <w:iCs/>
          <w:sz w:val="20"/>
          <w:szCs w:val="20"/>
        </w:rPr>
        <w:t xml:space="preserve">as Naciones Unidas — Disposiciones uniformes relativas a la homologación de los vehículos de motor en lo que respecta a la ciberseguridad y al sistema de gestión de </w:t>
      </w:r>
      <w:r w:rsidR="008C6CE2">
        <w:rPr>
          <w:rFonts w:asciiTheme="minorHAnsi" w:hAnsiTheme="minorHAnsi"/>
          <w:i/>
          <w:iCs/>
          <w:sz w:val="20"/>
          <w:szCs w:val="20"/>
        </w:rPr>
        <w:t>é</w:t>
      </w:r>
      <w:r w:rsidRPr="009551F2">
        <w:rPr>
          <w:rFonts w:asciiTheme="minorHAnsi" w:hAnsiTheme="minorHAnsi"/>
          <w:i/>
          <w:iCs/>
          <w:sz w:val="20"/>
          <w:szCs w:val="20"/>
        </w:rPr>
        <w:t>sta</w:t>
      </w:r>
      <w:r>
        <w:rPr>
          <w:rFonts w:asciiTheme="minorHAnsi" w:hAnsiTheme="minorHAnsi"/>
          <w:sz w:val="20"/>
          <w:szCs w:val="20"/>
        </w:rPr>
        <w:t>, en DOUE</w:t>
      </w:r>
      <w:r w:rsidR="008C6CE2">
        <w:rPr>
          <w:rFonts w:asciiTheme="minorHAnsi" w:hAnsiTheme="minorHAnsi"/>
          <w:sz w:val="20"/>
          <w:szCs w:val="20"/>
        </w:rPr>
        <w:t xml:space="preserve">, núm. 82, </w:t>
      </w:r>
      <w:r>
        <w:rPr>
          <w:rFonts w:asciiTheme="minorHAnsi" w:hAnsiTheme="minorHAnsi"/>
          <w:sz w:val="20"/>
          <w:szCs w:val="20"/>
        </w:rPr>
        <w:t xml:space="preserve">de </w:t>
      </w:r>
      <w:r w:rsidR="008C6CE2">
        <w:rPr>
          <w:rFonts w:asciiTheme="minorHAnsi" w:hAnsiTheme="minorHAnsi"/>
          <w:sz w:val="20"/>
          <w:szCs w:val="20"/>
        </w:rPr>
        <w:t>9 de marzo de 2021</w:t>
      </w:r>
      <w:r>
        <w:rPr>
          <w:rFonts w:asciiTheme="minorHAnsi" w:hAnsiTheme="minorHAnsi"/>
          <w:sz w:val="20"/>
          <w:szCs w:val="20"/>
        </w:rPr>
        <w:t>.</w:t>
      </w:r>
      <w:r w:rsidR="00DD41F9">
        <w:rPr>
          <w:rFonts w:asciiTheme="minorHAnsi" w:hAnsiTheme="minorHAnsi"/>
          <w:sz w:val="20"/>
          <w:szCs w:val="20"/>
        </w:rPr>
        <w:t xml:space="preserve"> </w:t>
      </w:r>
    </w:p>
  </w:footnote>
  <w:footnote w:id="26">
    <w:p w14:paraId="0A346C66" w14:textId="2ACD6D80" w:rsidR="008C6CE2" w:rsidRDefault="008C6CE2" w:rsidP="008C6CE2">
      <w:pPr>
        <w:pStyle w:val="Textonotapie"/>
        <w:jc w:val="both"/>
      </w:pPr>
      <w:r>
        <w:rPr>
          <w:rStyle w:val="Refdenotaalpie"/>
        </w:rPr>
        <w:footnoteRef/>
      </w:r>
      <w:r>
        <w:t xml:space="preserve"> </w:t>
      </w:r>
      <w:r>
        <w:rPr>
          <w:i/>
          <w:iCs/>
        </w:rPr>
        <w:t xml:space="preserve">Reglamento </w:t>
      </w:r>
      <w:proofErr w:type="spellStart"/>
      <w:r>
        <w:rPr>
          <w:i/>
          <w:iCs/>
        </w:rPr>
        <w:t>Nº</w:t>
      </w:r>
      <w:proofErr w:type="spellEnd"/>
      <w:r>
        <w:rPr>
          <w:i/>
          <w:iCs/>
        </w:rPr>
        <w:t xml:space="preserve">. 156 de las Naciones Unidas – Disposiciones Uniformes relativas a la homologación de vehículos en lo que respecta a las actualizaciones de software y al sistema de gestión de actualizaciones de software, </w:t>
      </w:r>
      <w:r>
        <w:t>en DOUE, núm.82, de 9 de marzo de 2021.</w:t>
      </w:r>
    </w:p>
  </w:footnote>
  <w:footnote w:id="27">
    <w:p w14:paraId="0B99CDBB" w14:textId="77777777" w:rsidR="0041299B" w:rsidRDefault="0041299B" w:rsidP="0041299B">
      <w:pPr>
        <w:pStyle w:val="Textonotapie"/>
        <w:jc w:val="both"/>
      </w:pPr>
      <w:r>
        <w:rPr>
          <w:rStyle w:val="Refdenotaalpie"/>
        </w:rPr>
        <w:footnoteRef/>
      </w:r>
      <w:r>
        <w:t xml:space="preserve"> </w:t>
      </w:r>
      <w:r w:rsidRPr="004C06D6">
        <w:rPr>
          <w:shd w:val="clear" w:color="auto" w:fill="FFFFFF"/>
        </w:rPr>
        <w:t xml:space="preserve">El punto de partida de esta nueva regulación se encuentra en el Foro Mundial para la Armonización de la Reglamentación sobre Vehículos, que pertenece a la Comisión Económica de las Naciones Unidas para Europa (UNECE), que en 2020 aprobó el </w:t>
      </w:r>
      <w:r>
        <w:rPr>
          <w:shd w:val="clear" w:color="auto" w:fill="FFFFFF"/>
        </w:rPr>
        <w:t>R</w:t>
      </w:r>
      <w:r w:rsidRPr="004C06D6">
        <w:rPr>
          <w:shd w:val="clear" w:color="auto" w:fill="FFFFFF"/>
        </w:rPr>
        <w:t>eglamento UNECE/TRANS/WP.29/2020/79</w:t>
      </w:r>
      <w:r>
        <w:rPr>
          <w:shd w:val="clear" w:color="auto" w:fill="FFFFFF"/>
        </w:rPr>
        <w:t>,</w:t>
      </w:r>
      <w:r w:rsidRPr="004C06D6">
        <w:rPr>
          <w:shd w:val="clear" w:color="auto" w:fill="FFFFFF"/>
        </w:rPr>
        <w:t xml:space="preserve"> que eleva los estándares de ciberseguridad de los vehículos</w:t>
      </w:r>
      <w:r>
        <w:rPr>
          <w:shd w:val="clear" w:color="auto" w:fill="FFFFFF"/>
        </w:rPr>
        <w:t>. Este Reglamento entra en vigor a partir del 1 de enero de 2021;</w:t>
      </w:r>
      <w:r>
        <w:rPr>
          <w:rFonts w:ascii="Roboto" w:hAnsi="Roboto"/>
          <w:color w:val="333333"/>
          <w:shd w:val="clear" w:color="auto" w:fill="FFFFFF"/>
        </w:rPr>
        <w:t xml:space="preserve"> </w:t>
      </w:r>
      <w:r w:rsidRPr="004C06D6">
        <w:rPr>
          <w:shd w:val="clear" w:color="auto" w:fill="FFFFFF"/>
        </w:rPr>
        <w:t>CIBERDERECHO, “Ciberseguridad y software para los vehículos: los nuevos cumplimientos entran en vigor el 1 de julio. Diario La Ley, 18-6-2024. Disponible en</w:t>
      </w:r>
      <w:r w:rsidRPr="004C06D6">
        <w:rPr>
          <w:rFonts w:ascii="Roboto" w:hAnsi="Roboto"/>
          <w:shd w:val="clear" w:color="auto" w:fill="FFFFFF"/>
        </w:rPr>
        <w:t xml:space="preserve"> </w:t>
      </w:r>
      <w:hyperlink r:id="rId6" w:history="1">
        <w:r w:rsidRPr="0085715F">
          <w:rPr>
            <w:rStyle w:val="Hipervnculo"/>
            <w:rFonts w:ascii="Roboto" w:hAnsi="Roboto"/>
            <w:shd w:val="clear" w:color="auto" w:fill="FFFFFF"/>
          </w:rPr>
          <w:t>https://diariolaley.laleynext.es/dll/2024/06/19/ciberseguridad-y-software-para-los-vehiculos-los-nuevos-cumplimientos-entran-en-vigor-el-1-de-julio</w:t>
        </w:r>
      </w:hyperlink>
      <w:r>
        <w:rPr>
          <w:rFonts w:ascii="Roboto" w:hAnsi="Roboto"/>
          <w:color w:val="333333"/>
          <w:shd w:val="clear" w:color="auto" w:fill="FFFFFF"/>
        </w:rPr>
        <w:t xml:space="preserve"> </w:t>
      </w:r>
    </w:p>
  </w:footnote>
  <w:footnote w:id="28">
    <w:p w14:paraId="42888AB7" w14:textId="77777777" w:rsidR="003245D2" w:rsidRPr="00B00352" w:rsidRDefault="003245D2" w:rsidP="003245D2">
      <w:pPr>
        <w:pStyle w:val="NormalWeb"/>
        <w:shd w:val="clear" w:color="auto" w:fill="FFFFFF"/>
        <w:spacing w:before="0" w:beforeAutospacing="0" w:after="0" w:afterAutospacing="0"/>
        <w:jc w:val="both"/>
        <w:rPr>
          <w:i/>
          <w:iCs/>
        </w:rPr>
      </w:pPr>
      <w:r>
        <w:rPr>
          <w:rStyle w:val="Refdenotaalpie"/>
          <w:rFonts w:asciiTheme="minorHAnsi" w:eastAsiaTheme="minorHAnsi" w:hAnsiTheme="minorHAnsi" w:cstheme="minorBidi"/>
          <w:kern w:val="2"/>
          <w:sz w:val="20"/>
          <w:szCs w:val="20"/>
          <w:lang w:eastAsia="en-US"/>
          <w14:ligatures w14:val="standardContextual"/>
        </w:rPr>
        <w:footnoteRef/>
      </w:r>
      <w:r>
        <w:rPr>
          <w:rFonts w:asciiTheme="minorHAnsi" w:eastAsiaTheme="minorHAnsi" w:hAnsiTheme="minorHAnsi" w:cstheme="minorBidi"/>
          <w:kern w:val="2"/>
          <w:sz w:val="20"/>
          <w:szCs w:val="20"/>
          <w:lang w:eastAsia="en-US"/>
          <w14:ligatures w14:val="standardContextual"/>
        </w:rPr>
        <w:t xml:space="preserve"> </w:t>
      </w:r>
      <w:r w:rsidRPr="00B00352">
        <w:rPr>
          <w:rFonts w:asciiTheme="minorHAnsi" w:hAnsiTheme="minorHAnsi"/>
          <w:sz w:val="20"/>
          <w:szCs w:val="20"/>
        </w:rPr>
        <w:t xml:space="preserve">En 2021 publicó el </w:t>
      </w:r>
      <w:r w:rsidRPr="00B00352">
        <w:rPr>
          <w:rFonts w:asciiTheme="minorHAnsi" w:hAnsiTheme="minorHAnsi"/>
          <w:i/>
          <w:iCs/>
          <w:sz w:val="20"/>
          <w:szCs w:val="20"/>
        </w:rPr>
        <w:t xml:space="preserve">Informe Normalización en Ciberseguridad para la Movilidad Conectada y Automatizada de vehículos y su entorno, </w:t>
      </w:r>
      <w:r w:rsidRPr="00B00352">
        <w:rPr>
          <w:rFonts w:asciiTheme="minorHAnsi" w:hAnsiTheme="minorHAnsi"/>
          <w:sz w:val="20"/>
          <w:szCs w:val="20"/>
          <w:shd w:val="clear" w:color="auto" w:fill="FFFFFF"/>
        </w:rPr>
        <w:t xml:space="preserve">elaborado con la colaboración de las organizaciones participantes del Grupo Específico CTN320/GT CAV </w:t>
      </w:r>
      <w:r>
        <w:rPr>
          <w:rFonts w:asciiTheme="minorHAnsi" w:hAnsiTheme="minorHAnsi"/>
          <w:sz w:val="20"/>
          <w:szCs w:val="20"/>
          <w:shd w:val="clear" w:color="auto" w:fill="FFFFFF"/>
        </w:rPr>
        <w:t>“</w:t>
      </w:r>
      <w:r w:rsidRPr="00B00352">
        <w:rPr>
          <w:rFonts w:asciiTheme="minorHAnsi" w:hAnsiTheme="minorHAnsi"/>
          <w:sz w:val="20"/>
          <w:szCs w:val="20"/>
          <w:shd w:val="clear" w:color="auto" w:fill="FFFFFF"/>
        </w:rPr>
        <w:t>Ciberseguridad en Ámbito del Vehículo</w:t>
      </w:r>
      <w:r>
        <w:rPr>
          <w:rFonts w:asciiTheme="minorHAnsi" w:hAnsiTheme="minorHAnsi"/>
          <w:sz w:val="20"/>
          <w:szCs w:val="20"/>
          <w:shd w:val="clear" w:color="auto" w:fill="FFFFFF"/>
        </w:rPr>
        <w:t>”</w:t>
      </w:r>
      <w:r w:rsidRPr="00B00352">
        <w:rPr>
          <w:rFonts w:asciiTheme="minorHAnsi" w:hAnsiTheme="minorHAnsi"/>
          <w:sz w:val="20"/>
          <w:szCs w:val="20"/>
          <w:shd w:val="clear" w:color="auto" w:fill="FFFFFF"/>
        </w:rPr>
        <w:t xml:space="preserve"> del CTN 320 de UNE. </w:t>
      </w:r>
      <w:r w:rsidRPr="00B00352">
        <w:rPr>
          <w:rFonts w:asciiTheme="minorHAnsi" w:hAnsiTheme="minorHAnsi"/>
          <w:sz w:val="20"/>
          <w:szCs w:val="20"/>
        </w:rPr>
        <w:t>El objetivo del</w:t>
      </w:r>
      <w:r>
        <w:rPr>
          <w:rFonts w:asciiTheme="minorHAnsi" w:hAnsiTheme="minorHAnsi"/>
          <w:sz w:val="20"/>
          <w:szCs w:val="20"/>
        </w:rPr>
        <w:t xml:space="preserve"> informe</w:t>
      </w:r>
      <w:r w:rsidRPr="00B00352">
        <w:rPr>
          <w:rFonts w:asciiTheme="minorHAnsi" w:hAnsiTheme="minorHAnsi"/>
          <w:sz w:val="20"/>
          <w:szCs w:val="20"/>
        </w:rPr>
        <w:t>, coordinado por el Colegio Oficial de Ingenieros Técnicos de Telecomunicación, es anticiparse al desarrollo previsto en los sistemas cooperativos inteligentes de transporte y en los avances en la conectividad del vehículo con el entorno.</w:t>
      </w:r>
      <w:r>
        <w:rPr>
          <w:rFonts w:asciiTheme="minorHAnsi" w:hAnsiTheme="minorHAnsi"/>
          <w:sz w:val="20"/>
          <w:szCs w:val="20"/>
        </w:rPr>
        <w:t xml:space="preserve"> </w:t>
      </w:r>
      <w:r w:rsidRPr="00B00352">
        <w:rPr>
          <w:rFonts w:asciiTheme="minorHAnsi" w:hAnsiTheme="minorHAnsi"/>
          <w:sz w:val="20"/>
          <w:szCs w:val="20"/>
        </w:rPr>
        <w:t>Además, pretende preparar los estándares técnicos que permitan tanto ofrecer la interoperabilidad necesaria de todos los elementos de estos grandes sistemas de transporte, como estandarizar los requisitos de seguridad y privacidad necesarios para dotarlos de las garantías suficientes.</w:t>
      </w:r>
      <w:r>
        <w:rPr>
          <w:rFonts w:asciiTheme="minorHAnsi" w:hAnsiTheme="minorHAnsi"/>
          <w:sz w:val="20"/>
          <w:szCs w:val="20"/>
        </w:rPr>
        <w:t xml:space="preserve"> </w:t>
      </w:r>
      <w:r w:rsidRPr="00B00352">
        <w:rPr>
          <w:rFonts w:asciiTheme="minorHAnsi" w:hAnsiTheme="minorHAnsi"/>
          <w:sz w:val="20"/>
          <w:szCs w:val="20"/>
        </w:rPr>
        <w:t>El documento analiza los avances que se están desarrollando actualmente en el campo de las normas y reglamentos a nivel gubernamental y de los diferentes agentes del sector. También identifica los órganos técnicos de normalización, estándares e iniciativas relevantes relativos a la ciberseguridad y la privacidad en el ámbito general de la industria de la Movilidad Conectada y Automatizada y en el caso particular de los Vehículos Conectados y Autónomos, los Sistemas Inteligentes de Transporte</w:t>
      </w:r>
      <w:r>
        <w:rPr>
          <w:rFonts w:asciiTheme="minorHAnsi" w:hAnsiTheme="minorHAnsi"/>
          <w:sz w:val="20"/>
          <w:szCs w:val="20"/>
        </w:rPr>
        <w:t xml:space="preserve"> </w:t>
      </w:r>
      <w:r w:rsidRPr="00B00352">
        <w:rPr>
          <w:rFonts w:asciiTheme="minorHAnsi" w:hAnsiTheme="minorHAnsi"/>
          <w:sz w:val="20"/>
          <w:szCs w:val="20"/>
        </w:rPr>
        <w:t>y las tecnologías de comunicación y conectividad involucradas. El informe señala la necesidad de contar con nuevas normas técnicas en el ámbito de la industria de la CAM para dar respuesta a los riesgos de ciberseguridad y privacidad que conllevan los avances tecnológicos en este ámbito.</w:t>
      </w:r>
      <w:r>
        <w:rPr>
          <w:rFonts w:asciiTheme="minorHAnsi" w:hAnsiTheme="minorHAnsi"/>
          <w:sz w:val="20"/>
          <w:szCs w:val="20"/>
        </w:rPr>
        <w:t xml:space="preserve"> </w:t>
      </w:r>
      <w:r w:rsidRPr="00B00352">
        <w:rPr>
          <w:rFonts w:asciiTheme="minorHAnsi" w:hAnsiTheme="minorHAnsi"/>
          <w:sz w:val="20"/>
          <w:szCs w:val="20"/>
        </w:rPr>
        <w:t>En este sentido, el documento pretende servir de base para el desarrollo de futuras iniciativas en el campo de la normalización en ciberseguridad y privacidad de la movilidad inteligente y los vehículos conectados, aunando y consensuando los esfuerzos de expertos y empresas con el objetivo de crear un entorno confiable</w:t>
      </w:r>
      <w:r>
        <w:rPr>
          <w:rFonts w:asciiTheme="minorHAnsi" w:hAnsiTheme="minorHAnsi"/>
          <w:sz w:val="20"/>
          <w:szCs w:val="20"/>
        </w:rPr>
        <w:t xml:space="preserve">; ESMARTCITY.ES. TODO SOBRE CIUDADES INTELIGENTES, “La UNE publica un informe sobre normalización en ciberseguridad para la movilidad inteligente”, Nota de prensa, de 12-3-2021. Disponible en </w:t>
      </w:r>
      <w:hyperlink r:id="rId7" w:history="1">
        <w:r w:rsidRPr="0085715F">
          <w:rPr>
            <w:rStyle w:val="Hipervnculo"/>
            <w:rFonts w:asciiTheme="minorHAnsi" w:hAnsiTheme="minorHAnsi"/>
            <w:sz w:val="20"/>
            <w:szCs w:val="20"/>
          </w:rPr>
          <w:t>https://www.esmartcity.es/2021/03/12/une-publica-informe-normalizacion-ciberseguridad-movilidad-inteligente</w:t>
        </w:r>
      </w:hyperlink>
      <w:r>
        <w:rPr>
          <w:rFonts w:asciiTheme="minorHAnsi" w:hAnsiTheme="minorHAns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FCC032"/>
    <w:rsid w:val="00054568"/>
    <w:rsid w:val="00057B32"/>
    <w:rsid w:val="001244AA"/>
    <w:rsid w:val="00244A82"/>
    <w:rsid w:val="002A7ADC"/>
    <w:rsid w:val="002B758B"/>
    <w:rsid w:val="002D639F"/>
    <w:rsid w:val="003245D2"/>
    <w:rsid w:val="003873C6"/>
    <w:rsid w:val="003D0E96"/>
    <w:rsid w:val="0041299B"/>
    <w:rsid w:val="004B57C1"/>
    <w:rsid w:val="00512376"/>
    <w:rsid w:val="00533A11"/>
    <w:rsid w:val="006006C1"/>
    <w:rsid w:val="0062450D"/>
    <w:rsid w:val="006607AD"/>
    <w:rsid w:val="006E0896"/>
    <w:rsid w:val="007A3B86"/>
    <w:rsid w:val="007B269E"/>
    <w:rsid w:val="007B41E7"/>
    <w:rsid w:val="008C6CE2"/>
    <w:rsid w:val="0091742F"/>
    <w:rsid w:val="00931224"/>
    <w:rsid w:val="00940264"/>
    <w:rsid w:val="009523D9"/>
    <w:rsid w:val="00993D53"/>
    <w:rsid w:val="009D54C7"/>
    <w:rsid w:val="00A34110"/>
    <w:rsid w:val="00A61282"/>
    <w:rsid w:val="00AB54E1"/>
    <w:rsid w:val="00AB6E4C"/>
    <w:rsid w:val="00B25AC9"/>
    <w:rsid w:val="00B44FC3"/>
    <w:rsid w:val="00C30BCA"/>
    <w:rsid w:val="00C755DB"/>
    <w:rsid w:val="00CC51C2"/>
    <w:rsid w:val="00CE40DB"/>
    <w:rsid w:val="00D66423"/>
    <w:rsid w:val="00DD41F9"/>
    <w:rsid w:val="00F10237"/>
    <w:rsid w:val="00F42C84"/>
    <w:rsid w:val="00FC331F"/>
    <w:rsid w:val="0DFCC032"/>
    <w:rsid w:val="1074ABB5"/>
    <w:rsid w:val="3FFA4C68"/>
    <w:rsid w:val="44E581CC"/>
    <w:rsid w:val="6B6C0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C032"/>
  <w15:chartTrackingRefBased/>
  <w15:docId w15:val="{DB533D49-FEC7-43F5-8BE8-EF0716A4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93D53"/>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rsid w:val="00993D53"/>
    <w:rPr>
      <w:kern w:val="2"/>
      <w:sz w:val="20"/>
      <w:szCs w:val="20"/>
      <w14:ligatures w14:val="standardContextual"/>
    </w:rPr>
  </w:style>
  <w:style w:type="character" w:styleId="Refdenotaalpie">
    <w:name w:val="footnote reference"/>
    <w:basedOn w:val="Fuentedeprrafopredeter"/>
    <w:uiPriority w:val="99"/>
    <w:semiHidden/>
    <w:unhideWhenUsed/>
    <w:rsid w:val="00993D53"/>
    <w:rPr>
      <w:vertAlign w:val="superscript"/>
    </w:rPr>
  </w:style>
  <w:style w:type="character" w:styleId="Hipervnculo">
    <w:name w:val="Hyperlink"/>
    <w:basedOn w:val="Fuentedeprrafopredeter"/>
    <w:uiPriority w:val="99"/>
    <w:unhideWhenUsed/>
    <w:rsid w:val="00993D53"/>
    <w:rPr>
      <w:color w:val="467886" w:themeColor="hyperlink"/>
      <w:u w:val="single"/>
    </w:rPr>
  </w:style>
  <w:style w:type="paragraph" w:customStyle="1" w:styleId="parrafo">
    <w:name w:val="parrafo"/>
    <w:basedOn w:val="Normal"/>
    <w:rsid w:val="00F10237"/>
    <w:pPr>
      <w:spacing w:before="100" w:beforeAutospacing="1" w:after="100" w:afterAutospacing="1" w:line="240" w:lineRule="auto"/>
    </w:pPr>
    <w:rPr>
      <w:rFonts w:ascii="Times New Roman" w:eastAsia="Times New Roman" w:hAnsi="Times New Roman" w:cs="Times New Roman"/>
      <w:lang w:eastAsia="es-ES"/>
    </w:rPr>
  </w:style>
  <w:style w:type="paragraph" w:customStyle="1" w:styleId="Default">
    <w:name w:val="Default"/>
    <w:rsid w:val="00F10237"/>
    <w:pPr>
      <w:autoSpaceDE w:val="0"/>
      <w:autoSpaceDN w:val="0"/>
      <w:adjustRightInd w:val="0"/>
      <w:spacing w:after="0" w:line="240" w:lineRule="auto"/>
    </w:pPr>
    <w:rPr>
      <w:rFonts w:ascii="EUAlbertina" w:hAnsi="EUAlbertina" w:cs="EUAlbertina"/>
      <w:color w:val="000000"/>
      <w14:ligatures w14:val="standardContextual"/>
    </w:rPr>
  </w:style>
  <w:style w:type="paragraph" w:styleId="NormalWeb">
    <w:name w:val="Normal (Web)"/>
    <w:basedOn w:val="Normal"/>
    <w:uiPriority w:val="99"/>
    <w:unhideWhenUsed/>
    <w:rsid w:val="0041299B"/>
    <w:pPr>
      <w:spacing w:before="100" w:beforeAutospacing="1" w:after="100" w:afterAutospacing="1" w:line="240" w:lineRule="auto"/>
    </w:pPr>
    <w:rPr>
      <w:rFonts w:ascii="Times New Roman" w:eastAsia="Times New Roman" w:hAnsi="Times New Roman" w:cs="Times New Roman"/>
      <w:lang w:eastAsia="es-ES"/>
    </w:rPr>
  </w:style>
  <w:style w:type="character" w:styleId="Textoennegrita">
    <w:name w:val="Strong"/>
    <w:basedOn w:val="Fuentedeprrafopredeter"/>
    <w:uiPriority w:val="22"/>
    <w:qFormat/>
    <w:rsid w:val="00412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0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iberseguridad.com/guias/industrial/vehiculos-conectados-autonomos/" TargetMode="External"/><Relationship Id="rId7" Type="http://schemas.openxmlformats.org/officeDocument/2006/relationships/hyperlink" Target="https://www.esmartcity.es/2021/03/12/une-publica-informe-normalizacion-ciberseguridad-movilidad-inteligente" TargetMode="External"/><Relationship Id="rId2" Type="http://schemas.openxmlformats.org/officeDocument/2006/relationships/hyperlink" Target="https://itcwebsolutions.com/tecnologia-y-tendencias/drones-y-vehiculos-autonomos/regulacion-y-seguridad/la-ciberseguridad-en-vehiculos-autonomos-riesgos-y-soluciones/" TargetMode="External"/><Relationship Id="rId1" Type="http://schemas.openxmlformats.org/officeDocument/2006/relationships/hyperlink" Target="https://www.hackrisk.cl/la-ciberseguridad-en-vehiculos-autonomos-retos-y-soluciones-para-un-futuro-seguro/" TargetMode="External"/><Relationship Id="rId6" Type="http://schemas.openxmlformats.org/officeDocument/2006/relationships/hyperlink" Target="https://diariolaley.laleynext.es/dll/2024/06/19/ciberseguridad-y-software-para-los-vehiculos-los-nuevos-cumplimientos-entran-en-vigor-el-1-de-julio" TargetMode="External"/><Relationship Id="rId5" Type="http://schemas.openxmlformats.org/officeDocument/2006/relationships/hyperlink" Target="https://techevolucion.net/transporte-y-movilidad/ciberseguridad-vehiculos-autonomos-desafios-soluciones/" TargetMode="External"/><Relationship Id="rId4" Type="http://schemas.openxmlformats.org/officeDocument/2006/relationships/hyperlink" Target="https://revista.une.org/37/normalizacion-en-ciberseguridad-para-la-movilidad-intelig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03E21-4BFD-4D49-AAEF-03074C50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7611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Carmen Nuñez Zorrilla</dc:creator>
  <cp:keywords/>
  <dc:description/>
  <cp:lastModifiedBy>Maria del carmen Nuñez Zorrilla</cp:lastModifiedBy>
  <cp:revision>2</cp:revision>
  <dcterms:created xsi:type="dcterms:W3CDTF">2025-03-25T11:55:00Z</dcterms:created>
  <dcterms:modified xsi:type="dcterms:W3CDTF">2025-03-25T11:55:00Z</dcterms:modified>
</cp:coreProperties>
</file>